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1A3" w:rsidRPr="001B00CC" w:rsidRDefault="00190800" w:rsidP="00DA5F6D">
      <w:pPr>
        <w:spacing w:line="240" w:lineRule="auto"/>
        <w:jc w:val="center"/>
        <w:rPr>
          <w:rFonts w:ascii="Times New Roman" w:eastAsia="黑体" w:hAnsi="Times New Roman"/>
          <w:sz w:val="30"/>
          <w:szCs w:val="30"/>
        </w:rPr>
      </w:pPr>
      <w:r w:rsidRPr="001B00CC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9E41A3" w:rsidRPr="001B00CC" w:rsidRDefault="009E41A3" w:rsidP="00DA5F6D">
      <w:pPr>
        <w:spacing w:line="240" w:lineRule="auto"/>
        <w:jc w:val="center"/>
        <w:rPr>
          <w:rFonts w:ascii="Times New Roman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2393"/>
        <w:gridCol w:w="5087"/>
      </w:tblGrid>
      <w:tr w:rsidR="009E41A3" w:rsidRPr="001B00CC" w:rsidTr="00626681">
        <w:tc>
          <w:tcPr>
            <w:tcW w:w="1278" w:type="dxa"/>
            <w:shd w:val="clear" w:color="auto" w:fill="D9D9D9"/>
          </w:tcPr>
          <w:p w:rsidR="009E41A3" w:rsidRPr="001B00CC" w:rsidRDefault="00190800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7480" w:type="dxa"/>
            <w:gridSpan w:val="2"/>
          </w:tcPr>
          <w:p w:rsidR="009E41A3" w:rsidRPr="001B00CC" w:rsidRDefault="00626681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kern w:val="0"/>
                <w:szCs w:val="21"/>
              </w:rPr>
              <w:t>阿普拉控股有限公司收购</w:t>
            </w:r>
            <w:r w:rsidRPr="001B00CC">
              <w:rPr>
                <w:rFonts w:ascii="Times New Roman" w:hAnsi="Times New Roman"/>
                <w:kern w:val="0"/>
                <w:szCs w:val="21"/>
              </w:rPr>
              <w:t>ecoXpac A/S</w:t>
            </w:r>
            <w:r w:rsidRPr="001B00CC">
              <w:rPr>
                <w:rFonts w:ascii="Times New Roman" w:hAnsi="Times New Roman"/>
                <w:kern w:val="0"/>
                <w:szCs w:val="21"/>
              </w:rPr>
              <w:t>股权案</w:t>
            </w:r>
          </w:p>
        </w:tc>
      </w:tr>
      <w:tr w:rsidR="009E41A3" w:rsidRPr="001B00CC" w:rsidTr="00626681">
        <w:trPr>
          <w:trHeight w:val="993"/>
        </w:trPr>
        <w:tc>
          <w:tcPr>
            <w:tcW w:w="1278" w:type="dxa"/>
            <w:shd w:val="clear" w:color="auto" w:fill="D9D9D9"/>
          </w:tcPr>
          <w:p w:rsidR="009E41A3" w:rsidRPr="001B00CC" w:rsidRDefault="00190800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交易概况（限</w:t>
            </w:r>
            <w:r w:rsidRPr="001B00CC">
              <w:rPr>
                <w:rFonts w:ascii="Times New Roman" w:hAnsi="Times New Roman"/>
                <w:szCs w:val="21"/>
              </w:rPr>
              <w:t>200</w:t>
            </w:r>
            <w:r w:rsidRPr="001B00CC">
              <w:rPr>
                <w:rFonts w:ascii="Times New Roman" w:hAnsi="Times New Roman"/>
                <w:szCs w:val="21"/>
              </w:rPr>
              <w:t>字内）</w:t>
            </w:r>
          </w:p>
        </w:tc>
        <w:tc>
          <w:tcPr>
            <w:tcW w:w="7480" w:type="dxa"/>
            <w:gridSpan w:val="2"/>
          </w:tcPr>
          <w:p w:rsidR="001B00CC" w:rsidRPr="001B00CC" w:rsidRDefault="00436081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kern w:val="0"/>
                <w:szCs w:val="21"/>
              </w:rPr>
              <w:t>阿普拉控股有限公司</w:t>
            </w:r>
            <w:r w:rsidR="00626681" w:rsidRPr="001B00CC">
              <w:rPr>
                <w:rFonts w:ascii="Times New Roman" w:hAnsi="Times New Roman"/>
                <w:szCs w:val="21"/>
              </w:rPr>
              <w:t>（</w:t>
            </w:r>
            <w:r w:rsidRPr="00436081">
              <w:rPr>
                <w:rFonts w:ascii="Times New Roman" w:hAnsi="Times New Roman"/>
                <w:szCs w:val="21"/>
              </w:rPr>
              <w:t>ALPLA Holding GmbH</w:t>
            </w:r>
            <w:r>
              <w:rPr>
                <w:rFonts w:ascii="Times New Roman" w:hAnsi="Times New Roman" w:hint="eastAsia"/>
                <w:szCs w:val="21"/>
              </w:rPr>
              <w:t>，</w:t>
            </w:r>
            <w:r w:rsidR="00626681" w:rsidRPr="001B00CC">
              <w:rPr>
                <w:rFonts w:ascii="Times New Roman" w:hAnsi="Times New Roman"/>
                <w:szCs w:val="21"/>
              </w:rPr>
              <w:t>“ALPLA”</w:t>
            </w:r>
            <w:r w:rsidR="00626681" w:rsidRPr="001B00CC">
              <w:rPr>
                <w:rFonts w:ascii="Times New Roman" w:hAnsi="Times New Roman"/>
                <w:szCs w:val="21"/>
              </w:rPr>
              <w:t>）将向</w:t>
            </w:r>
            <w:r w:rsidR="00626681" w:rsidRPr="00436081">
              <w:rPr>
                <w:rFonts w:ascii="Times New Roman" w:hAnsi="Times New Roman"/>
                <w:szCs w:val="21"/>
              </w:rPr>
              <w:t>BillerudKorsnäs Venture AB</w:t>
            </w:r>
            <w:r w:rsidR="001B00CC" w:rsidRPr="001B00CC">
              <w:rPr>
                <w:rFonts w:ascii="Times New Roman" w:hAnsi="Times New Roman"/>
                <w:szCs w:val="21"/>
              </w:rPr>
              <w:t>（</w:t>
            </w:r>
            <w:r w:rsidR="001B00CC" w:rsidRPr="001B00CC">
              <w:rPr>
                <w:rFonts w:ascii="Times New Roman" w:hAnsi="Times New Roman"/>
                <w:szCs w:val="21"/>
              </w:rPr>
              <w:t>“BKV”</w:t>
            </w:r>
            <w:r w:rsidR="001B00CC" w:rsidRPr="001B00CC">
              <w:rPr>
                <w:rFonts w:ascii="Times New Roman" w:hAnsi="Times New Roman"/>
                <w:szCs w:val="21"/>
              </w:rPr>
              <w:t>）</w:t>
            </w:r>
            <w:r w:rsidR="00626681" w:rsidRPr="001B00CC">
              <w:rPr>
                <w:rFonts w:ascii="Times New Roman" w:hAnsi="Times New Roman"/>
                <w:szCs w:val="21"/>
              </w:rPr>
              <w:t>收购</w:t>
            </w:r>
            <w:r w:rsidR="001B00CC" w:rsidRPr="001B00CC">
              <w:rPr>
                <w:rFonts w:ascii="Times New Roman" w:hAnsi="Times New Roman"/>
                <w:szCs w:val="21"/>
              </w:rPr>
              <w:t>其持有的</w:t>
            </w:r>
            <w:r w:rsidR="00626681" w:rsidRPr="001B00CC">
              <w:rPr>
                <w:rFonts w:ascii="Times New Roman" w:hAnsi="Times New Roman"/>
                <w:kern w:val="0"/>
                <w:szCs w:val="21"/>
              </w:rPr>
              <w:t>ecoXpac A/S</w:t>
            </w:r>
            <w:r w:rsidR="00626681" w:rsidRPr="001B00CC">
              <w:rPr>
                <w:rFonts w:ascii="Times New Roman" w:hAnsi="Times New Roman"/>
                <w:kern w:val="0"/>
                <w:szCs w:val="21"/>
              </w:rPr>
              <w:t>（</w:t>
            </w:r>
            <w:r w:rsidR="00626681" w:rsidRPr="001B00CC">
              <w:rPr>
                <w:rFonts w:ascii="Times New Roman" w:hAnsi="Times New Roman"/>
                <w:kern w:val="0"/>
                <w:szCs w:val="21"/>
              </w:rPr>
              <w:t>“</w:t>
            </w:r>
            <w:r w:rsidR="00626681" w:rsidRPr="001B00CC">
              <w:rPr>
                <w:rFonts w:ascii="Times New Roman" w:hAnsi="Times New Roman"/>
                <w:szCs w:val="21"/>
              </w:rPr>
              <w:t>ecoXpac”</w:t>
            </w:r>
            <w:r w:rsidR="00626681" w:rsidRPr="001B00CC">
              <w:rPr>
                <w:rFonts w:ascii="Times New Roman" w:hAnsi="Times New Roman"/>
                <w:szCs w:val="21"/>
              </w:rPr>
              <w:t>）</w:t>
            </w:r>
            <w:r w:rsidR="00626681" w:rsidRPr="001B00CC">
              <w:rPr>
                <w:rFonts w:ascii="Times New Roman" w:hAnsi="Times New Roman"/>
                <w:szCs w:val="21"/>
              </w:rPr>
              <w:t>43.6%</w:t>
            </w:r>
            <w:r w:rsidR="00626681" w:rsidRPr="001B00CC">
              <w:rPr>
                <w:rFonts w:ascii="Times New Roman" w:hAnsi="Times New Roman"/>
                <w:szCs w:val="21"/>
              </w:rPr>
              <w:t>到</w:t>
            </w:r>
            <w:r w:rsidR="00626681" w:rsidRPr="001B00CC">
              <w:rPr>
                <w:rFonts w:ascii="Times New Roman" w:hAnsi="Times New Roman"/>
                <w:szCs w:val="21"/>
              </w:rPr>
              <w:t>50%</w:t>
            </w:r>
            <w:r w:rsidR="00626681" w:rsidRPr="001B00CC">
              <w:rPr>
                <w:rFonts w:ascii="Times New Roman" w:hAnsi="Times New Roman"/>
                <w:szCs w:val="21"/>
              </w:rPr>
              <w:t>的股权以及</w:t>
            </w:r>
            <w:r w:rsidR="00626681" w:rsidRPr="001B00CC">
              <w:rPr>
                <w:rFonts w:ascii="Times New Roman" w:hAnsi="Times New Roman"/>
                <w:szCs w:val="21"/>
              </w:rPr>
              <w:t>50%</w:t>
            </w:r>
            <w:r w:rsidR="00626681" w:rsidRPr="001B00CC">
              <w:rPr>
                <w:rFonts w:ascii="Times New Roman" w:hAnsi="Times New Roman"/>
                <w:szCs w:val="21"/>
              </w:rPr>
              <w:t>的投票权。</w:t>
            </w:r>
          </w:p>
          <w:p w:rsidR="009E41A3" w:rsidRPr="001B00CC" w:rsidRDefault="001B00CC" w:rsidP="00DA5F6D">
            <w:pPr>
              <w:spacing w:line="240" w:lineRule="auto"/>
              <w:rPr>
                <w:rFonts w:ascii="Times New Roman" w:hAnsi="Times New Roman"/>
                <w:b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收购前，</w:t>
            </w:r>
            <w:r w:rsidRPr="001B00CC">
              <w:rPr>
                <w:rFonts w:ascii="Times New Roman" w:hAnsi="Times New Roman"/>
                <w:szCs w:val="21"/>
              </w:rPr>
              <w:t>BKV</w:t>
            </w:r>
            <w:r w:rsidRPr="001B00CC">
              <w:rPr>
                <w:rFonts w:ascii="Times New Roman" w:hAnsi="Times New Roman"/>
                <w:szCs w:val="21"/>
              </w:rPr>
              <w:t>持有</w:t>
            </w:r>
            <w:r w:rsidRPr="001B00CC">
              <w:rPr>
                <w:rFonts w:ascii="Times New Roman" w:hAnsi="Times New Roman"/>
                <w:szCs w:val="21"/>
              </w:rPr>
              <w:t>ecoXpac 89.24%</w:t>
            </w:r>
            <w:r w:rsidRPr="001B00CC">
              <w:rPr>
                <w:rFonts w:ascii="Times New Roman" w:hAnsi="Times New Roman"/>
                <w:szCs w:val="21"/>
              </w:rPr>
              <w:t>的股权以及</w:t>
            </w:r>
            <w:r w:rsidRPr="001B00CC">
              <w:rPr>
                <w:rFonts w:ascii="Times New Roman" w:hAnsi="Times New Roman"/>
                <w:szCs w:val="21"/>
              </w:rPr>
              <w:t>100%</w:t>
            </w:r>
            <w:r w:rsidRPr="001B00CC">
              <w:rPr>
                <w:rFonts w:ascii="Times New Roman" w:hAnsi="Times New Roman"/>
                <w:szCs w:val="21"/>
              </w:rPr>
              <w:t>的投票权，即</w:t>
            </w:r>
            <w:r w:rsidRPr="001B00CC">
              <w:rPr>
                <w:rFonts w:ascii="Times New Roman" w:hAnsi="Times New Roman"/>
                <w:szCs w:val="21"/>
              </w:rPr>
              <w:t>ecoXpac</w:t>
            </w:r>
            <w:r w:rsidRPr="001B00CC">
              <w:rPr>
                <w:rFonts w:ascii="Times New Roman" w:hAnsi="Times New Roman"/>
                <w:szCs w:val="21"/>
              </w:rPr>
              <w:t>由</w:t>
            </w:r>
            <w:r w:rsidRPr="001B00CC">
              <w:rPr>
                <w:rFonts w:ascii="Times New Roman" w:hAnsi="Times New Roman"/>
                <w:szCs w:val="21"/>
              </w:rPr>
              <w:t>BKV</w:t>
            </w:r>
            <w:r w:rsidRPr="001B00CC">
              <w:rPr>
                <w:rFonts w:ascii="Times New Roman" w:hAnsi="Times New Roman"/>
                <w:szCs w:val="21"/>
              </w:rPr>
              <w:t>单独控制；</w:t>
            </w:r>
            <w:r w:rsidR="00626681" w:rsidRPr="001B00CC">
              <w:rPr>
                <w:rFonts w:ascii="Times New Roman" w:hAnsi="Times New Roman"/>
                <w:szCs w:val="21"/>
              </w:rPr>
              <w:t>收购完成后，</w:t>
            </w:r>
            <w:r w:rsidR="00626681" w:rsidRPr="001B00CC">
              <w:rPr>
                <w:rFonts w:ascii="Times New Roman" w:hAnsi="Times New Roman"/>
                <w:szCs w:val="21"/>
              </w:rPr>
              <w:t>BKV</w:t>
            </w:r>
            <w:r w:rsidR="00626681" w:rsidRPr="001B00CC">
              <w:rPr>
                <w:rFonts w:ascii="Times New Roman" w:hAnsi="Times New Roman"/>
                <w:szCs w:val="21"/>
              </w:rPr>
              <w:t>和</w:t>
            </w:r>
            <w:r w:rsidR="00626681" w:rsidRPr="001B00CC">
              <w:rPr>
                <w:rFonts w:ascii="Times New Roman" w:hAnsi="Times New Roman"/>
                <w:szCs w:val="21"/>
              </w:rPr>
              <w:t>ALPLA</w:t>
            </w:r>
            <w:r w:rsidR="00626681" w:rsidRPr="001B00CC">
              <w:rPr>
                <w:rFonts w:ascii="Times New Roman" w:hAnsi="Times New Roman"/>
                <w:szCs w:val="21"/>
              </w:rPr>
              <w:t>将分别持有</w:t>
            </w:r>
            <w:r w:rsidR="00626681" w:rsidRPr="001B00CC">
              <w:rPr>
                <w:rFonts w:ascii="Times New Roman" w:hAnsi="Times New Roman"/>
                <w:szCs w:val="21"/>
              </w:rPr>
              <w:t>ecoXpac</w:t>
            </w:r>
            <w:r w:rsidRPr="001B00CC">
              <w:rPr>
                <w:rFonts w:ascii="Times New Roman" w:hAnsi="Times New Roman"/>
                <w:szCs w:val="21"/>
              </w:rPr>
              <w:t xml:space="preserve"> </w:t>
            </w:r>
            <w:r w:rsidR="00626681" w:rsidRPr="001B00CC">
              <w:rPr>
                <w:rFonts w:ascii="Times New Roman" w:hAnsi="Times New Roman"/>
                <w:szCs w:val="21"/>
              </w:rPr>
              <w:t>43.6%</w:t>
            </w:r>
            <w:r w:rsidR="00626681" w:rsidRPr="001B00CC">
              <w:rPr>
                <w:rFonts w:ascii="Times New Roman" w:hAnsi="Times New Roman"/>
                <w:szCs w:val="21"/>
              </w:rPr>
              <w:t>到</w:t>
            </w:r>
            <w:r w:rsidR="00626681" w:rsidRPr="001B00CC">
              <w:rPr>
                <w:rFonts w:ascii="Times New Roman" w:hAnsi="Times New Roman"/>
                <w:szCs w:val="21"/>
              </w:rPr>
              <w:t>50%</w:t>
            </w:r>
            <w:r w:rsidR="00626681" w:rsidRPr="001B00CC">
              <w:rPr>
                <w:rFonts w:ascii="Times New Roman" w:hAnsi="Times New Roman"/>
                <w:szCs w:val="21"/>
              </w:rPr>
              <w:t>的股权以及</w:t>
            </w:r>
            <w:r w:rsidR="00626681" w:rsidRPr="001B00CC">
              <w:rPr>
                <w:rFonts w:ascii="Times New Roman" w:hAnsi="Times New Roman"/>
                <w:szCs w:val="21"/>
              </w:rPr>
              <w:t>50%</w:t>
            </w:r>
            <w:r w:rsidR="00626681" w:rsidRPr="001B00CC">
              <w:rPr>
                <w:rFonts w:ascii="Times New Roman" w:hAnsi="Times New Roman"/>
                <w:szCs w:val="21"/>
              </w:rPr>
              <w:t>投票权，从而共同控制</w:t>
            </w:r>
            <w:r w:rsidR="00626681" w:rsidRPr="001B00CC">
              <w:rPr>
                <w:rFonts w:ascii="Times New Roman" w:hAnsi="Times New Roman"/>
                <w:szCs w:val="21"/>
              </w:rPr>
              <w:t>ecoXpac</w:t>
            </w:r>
            <w:r w:rsidR="00626681" w:rsidRPr="001B00CC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9E41A3" w:rsidRPr="001B00CC" w:rsidTr="00626681">
        <w:trPr>
          <w:trHeight w:val="468"/>
        </w:trPr>
        <w:tc>
          <w:tcPr>
            <w:tcW w:w="1278" w:type="dxa"/>
            <w:vMerge w:val="restart"/>
            <w:shd w:val="clear" w:color="auto" w:fill="D9D9D9"/>
          </w:tcPr>
          <w:p w:rsidR="009E41A3" w:rsidRPr="001B00CC" w:rsidRDefault="00190800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2393" w:type="dxa"/>
          </w:tcPr>
          <w:p w:rsidR="009E41A3" w:rsidRPr="001B00CC" w:rsidRDefault="00190800" w:rsidP="00DA5F6D">
            <w:pPr>
              <w:spacing w:line="240" w:lineRule="auto"/>
              <w:jc w:val="left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1</w:t>
            </w:r>
            <w:r w:rsidRPr="001B00CC">
              <w:rPr>
                <w:rFonts w:ascii="Times New Roman" w:hAnsi="Times New Roman"/>
                <w:szCs w:val="21"/>
              </w:rPr>
              <w:t>、</w:t>
            </w:r>
            <w:r w:rsidR="00436081" w:rsidRPr="001B00CC">
              <w:rPr>
                <w:rFonts w:ascii="Times New Roman" w:hAnsi="Times New Roman"/>
                <w:kern w:val="0"/>
                <w:szCs w:val="21"/>
              </w:rPr>
              <w:t>阿普拉控股有限公司</w:t>
            </w:r>
            <w:r w:rsidR="00436081">
              <w:rPr>
                <w:rFonts w:ascii="Times New Roman" w:hAnsi="Times New Roman" w:hint="eastAsia"/>
                <w:kern w:val="0"/>
                <w:szCs w:val="21"/>
              </w:rPr>
              <w:t>（</w:t>
            </w:r>
            <w:r w:rsidR="00436081" w:rsidRPr="00436081">
              <w:rPr>
                <w:rFonts w:ascii="Times New Roman" w:hAnsi="Times New Roman"/>
                <w:szCs w:val="21"/>
              </w:rPr>
              <w:t>ALPLA Holding GmbH</w:t>
            </w:r>
            <w:r w:rsidR="00436081">
              <w:rPr>
                <w:rFonts w:ascii="Times New Roman" w:hAnsi="Times New Roman" w:hint="eastAsia"/>
                <w:szCs w:val="21"/>
              </w:rPr>
              <w:t>）</w:t>
            </w:r>
          </w:p>
        </w:tc>
        <w:tc>
          <w:tcPr>
            <w:tcW w:w="5087" w:type="dxa"/>
          </w:tcPr>
          <w:p w:rsidR="009E41A3" w:rsidRPr="001B00CC" w:rsidRDefault="001B00CC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 w:hint="eastAsia"/>
                <w:szCs w:val="21"/>
              </w:rPr>
              <w:t>ALPLA</w:t>
            </w:r>
            <w:r w:rsidRPr="001B00CC">
              <w:rPr>
                <w:rFonts w:ascii="Times New Roman" w:hAnsi="Times New Roman" w:hint="eastAsia"/>
                <w:szCs w:val="21"/>
              </w:rPr>
              <w:t>集团</w:t>
            </w:r>
            <w:r w:rsidR="00012ACF">
              <w:rPr>
                <w:rFonts w:ascii="Times New Roman" w:hAnsi="Times New Roman" w:hint="eastAsia"/>
                <w:szCs w:val="21"/>
              </w:rPr>
              <w:t>是</w:t>
            </w:r>
            <w:r w:rsidR="00012ACF" w:rsidRPr="00012ACF">
              <w:rPr>
                <w:rFonts w:ascii="Times New Roman" w:hAnsi="Times New Roman" w:hint="eastAsia"/>
                <w:szCs w:val="21"/>
              </w:rPr>
              <w:t>生产塑料包装产品的跨国制造商</w:t>
            </w:r>
            <w:r w:rsidR="00436081">
              <w:rPr>
                <w:rFonts w:ascii="Times New Roman" w:hAnsi="Times New Roman" w:hint="eastAsia"/>
                <w:szCs w:val="21"/>
              </w:rPr>
              <w:t>，向客户提供</w:t>
            </w:r>
            <w:r w:rsidRPr="001B00CC">
              <w:rPr>
                <w:rFonts w:ascii="Times New Roman" w:hAnsi="Times New Roman" w:hint="eastAsia"/>
                <w:szCs w:val="21"/>
              </w:rPr>
              <w:t>硬质塑料包装解决方案，</w:t>
            </w:r>
            <w:r w:rsidR="00436081">
              <w:rPr>
                <w:rFonts w:ascii="Times New Roman" w:hAnsi="Times New Roman" w:hint="eastAsia"/>
                <w:szCs w:val="21"/>
              </w:rPr>
              <w:t>经营范围包括</w:t>
            </w:r>
            <w:r w:rsidRPr="001B00CC">
              <w:rPr>
                <w:rFonts w:ascii="Times New Roman" w:hAnsi="Times New Roman" w:hint="eastAsia"/>
                <w:szCs w:val="21"/>
              </w:rPr>
              <w:t>包装系统、瓶子、瓶盖、注塑件、瓶坯和管材</w:t>
            </w:r>
            <w:r w:rsidR="00436081">
              <w:rPr>
                <w:rFonts w:ascii="Times New Roman" w:hAnsi="Times New Roman" w:hint="eastAsia"/>
                <w:szCs w:val="21"/>
              </w:rPr>
              <w:t>等塑料包装制品</w:t>
            </w:r>
            <w:r w:rsidRPr="001B00CC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9E41A3" w:rsidRPr="001B00CC" w:rsidTr="00626681">
        <w:trPr>
          <w:trHeight w:val="1511"/>
        </w:trPr>
        <w:tc>
          <w:tcPr>
            <w:tcW w:w="1278" w:type="dxa"/>
            <w:vMerge/>
            <w:shd w:val="clear" w:color="auto" w:fill="D9D9D9"/>
          </w:tcPr>
          <w:p w:rsidR="009E41A3" w:rsidRPr="001B00CC" w:rsidRDefault="009E41A3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93" w:type="dxa"/>
          </w:tcPr>
          <w:p w:rsidR="009E41A3" w:rsidRPr="001B00CC" w:rsidRDefault="00190800" w:rsidP="00DA5F6D">
            <w:pPr>
              <w:spacing w:line="240" w:lineRule="auto"/>
              <w:jc w:val="left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2</w:t>
            </w:r>
            <w:r w:rsidRPr="001B00CC">
              <w:rPr>
                <w:rFonts w:ascii="Times New Roman" w:hAnsi="Times New Roman"/>
                <w:szCs w:val="21"/>
              </w:rPr>
              <w:t>、</w:t>
            </w:r>
            <w:r w:rsidR="001B00CC" w:rsidRPr="00436081">
              <w:rPr>
                <w:rFonts w:ascii="Times New Roman" w:hAnsi="Times New Roman"/>
                <w:szCs w:val="21"/>
              </w:rPr>
              <w:t>BillerudKorsnäs Venture AB</w:t>
            </w:r>
          </w:p>
        </w:tc>
        <w:tc>
          <w:tcPr>
            <w:tcW w:w="5087" w:type="dxa"/>
          </w:tcPr>
          <w:p w:rsidR="009E41A3" w:rsidRPr="00436081" w:rsidRDefault="00436081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436081">
              <w:rPr>
                <w:rFonts w:ascii="Times New Roman" w:hAnsi="Times New Roman"/>
                <w:szCs w:val="21"/>
              </w:rPr>
              <w:t>BKV</w:t>
            </w:r>
            <w:r w:rsidRPr="00436081">
              <w:rPr>
                <w:rFonts w:ascii="Times New Roman" w:hAnsi="Times New Roman"/>
                <w:szCs w:val="21"/>
              </w:rPr>
              <w:t>是</w:t>
            </w:r>
            <w:r w:rsidRPr="00436081">
              <w:rPr>
                <w:rFonts w:ascii="Times New Roman" w:hAnsi="Times New Roman"/>
                <w:szCs w:val="21"/>
              </w:rPr>
              <w:t>BillerudKorsnäs AB</w:t>
            </w:r>
            <w:r w:rsidRPr="00436081">
              <w:rPr>
                <w:rFonts w:ascii="Times New Roman" w:hAnsi="Times New Roman"/>
                <w:szCs w:val="21"/>
              </w:rPr>
              <w:t>的全资子公司。</w:t>
            </w:r>
            <w:r w:rsidRPr="00436081">
              <w:rPr>
                <w:rFonts w:ascii="Times New Roman" w:hAnsi="Times New Roman"/>
                <w:szCs w:val="21"/>
              </w:rPr>
              <w:t>BKV</w:t>
            </w:r>
            <w:r w:rsidRPr="00436081">
              <w:rPr>
                <w:rFonts w:ascii="Times New Roman" w:hAnsi="Times New Roman"/>
                <w:szCs w:val="21"/>
              </w:rPr>
              <w:t>活跃于风险投资领域，投资包装行业的公司，专注于对早期创新公司的投资。</w:t>
            </w:r>
          </w:p>
        </w:tc>
      </w:tr>
      <w:tr w:rsidR="009E41A3" w:rsidRPr="001B00CC" w:rsidTr="00626681">
        <w:trPr>
          <w:trHeight w:val="279"/>
        </w:trPr>
        <w:tc>
          <w:tcPr>
            <w:tcW w:w="1278" w:type="dxa"/>
            <w:vMerge w:val="restart"/>
            <w:shd w:val="clear" w:color="auto" w:fill="D9D9D9"/>
          </w:tcPr>
          <w:p w:rsidR="009E41A3" w:rsidRPr="001B00CC" w:rsidRDefault="00190800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7480" w:type="dxa"/>
            <w:gridSpan w:val="2"/>
          </w:tcPr>
          <w:p w:rsidR="009E41A3" w:rsidRPr="001B00CC" w:rsidRDefault="00190800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□1</w:t>
            </w:r>
            <w:r w:rsidRPr="001B00CC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Pr="001B00CC">
              <w:rPr>
                <w:rFonts w:ascii="Times New Roman" w:hAnsi="Times New Roman"/>
                <w:szCs w:val="21"/>
              </w:rPr>
              <w:t>15%</w:t>
            </w:r>
            <w:r w:rsidRPr="001B00CC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9E41A3" w:rsidRPr="001B00CC" w:rsidTr="00626681">
        <w:trPr>
          <w:trHeight w:val="330"/>
        </w:trPr>
        <w:tc>
          <w:tcPr>
            <w:tcW w:w="1278" w:type="dxa"/>
            <w:vMerge/>
            <w:shd w:val="clear" w:color="auto" w:fill="D9D9D9"/>
          </w:tcPr>
          <w:p w:rsidR="009E41A3" w:rsidRPr="001B00CC" w:rsidRDefault="009E41A3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480" w:type="dxa"/>
            <w:gridSpan w:val="2"/>
          </w:tcPr>
          <w:p w:rsidR="009E41A3" w:rsidRPr="001B00CC" w:rsidRDefault="00C0502D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□</w:t>
            </w:r>
            <w:r w:rsidR="00190800" w:rsidRPr="001B00CC">
              <w:rPr>
                <w:rFonts w:ascii="Times New Roman" w:hAnsi="Times New Roman"/>
                <w:szCs w:val="21"/>
              </w:rPr>
              <w:t>2</w:t>
            </w:r>
            <w:r w:rsidR="00190800" w:rsidRPr="001B00CC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190800" w:rsidRPr="001B00CC">
              <w:rPr>
                <w:rFonts w:ascii="Times New Roman" w:hAnsi="Times New Roman"/>
                <w:szCs w:val="21"/>
              </w:rPr>
              <w:t>25%</w:t>
            </w:r>
            <w:r w:rsidR="00190800" w:rsidRPr="001B00CC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9E41A3" w:rsidRPr="001B00CC" w:rsidTr="00626681">
        <w:trPr>
          <w:trHeight w:val="285"/>
        </w:trPr>
        <w:tc>
          <w:tcPr>
            <w:tcW w:w="1278" w:type="dxa"/>
            <w:vMerge/>
            <w:shd w:val="clear" w:color="auto" w:fill="D9D9D9"/>
          </w:tcPr>
          <w:p w:rsidR="009E41A3" w:rsidRPr="001B00CC" w:rsidRDefault="009E41A3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480" w:type="dxa"/>
            <w:gridSpan w:val="2"/>
          </w:tcPr>
          <w:p w:rsidR="009E41A3" w:rsidRPr="001B00CC" w:rsidRDefault="00C0502D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sym w:font="Wingdings" w:char="F0FE"/>
            </w:r>
            <w:r w:rsidR="00190800" w:rsidRPr="001B00CC">
              <w:rPr>
                <w:rFonts w:ascii="Times New Roman" w:hAnsi="Times New Roman"/>
                <w:szCs w:val="21"/>
              </w:rPr>
              <w:t>3</w:t>
            </w:r>
            <w:r w:rsidR="00190800" w:rsidRPr="001B00CC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190800" w:rsidRPr="001B00CC">
              <w:rPr>
                <w:rFonts w:ascii="Times New Roman" w:hAnsi="Times New Roman"/>
                <w:szCs w:val="21"/>
              </w:rPr>
              <w:t>25%</w:t>
            </w:r>
            <w:r w:rsidR="00190800" w:rsidRPr="001B00CC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9E41A3" w:rsidRPr="001B00CC" w:rsidTr="00626681">
        <w:trPr>
          <w:trHeight w:val="870"/>
        </w:trPr>
        <w:tc>
          <w:tcPr>
            <w:tcW w:w="1278" w:type="dxa"/>
            <w:vMerge/>
            <w:shd w:val="clear" w:color="auto" w:fill="D9D9D9"/>
          </w:tcPr>
          <w:p w:rsidR="009E41A3" w:rsidRPr="001B00CC" w:rsidRDefault="009E41A3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480" w:type="dxa"/>
            <w:gridSpan w:val="2"/>
          </w:tcPr>
          <w:p w:rsidR="009E41A3" w:rsidRPr="001B00CC" w:rsidRDefault="00190800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□4</w:t>
            </w:r>
            <w:r w:rsidRPr="001B00CC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9E41A3" w:rsidRPr="001B00CC" w:rsidTr="00626681">
        <w:trPr>
          <w:trHeight w:val="264"/>
        </w:trPr>
        <w:tc>
          <w:tcPr>
            <w:tcW w:w="1278" w:type="dxa"/>
            <w:vMerge/>
            <w:shd w:val="clear" w:color="auto" w:fill="D9D9D9"/>
          </w:tcPr>
          <w:p w:rsidR="009E41A3" w:rsidRPr="001B00CC" w:rsidRDefault="009E41A3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480" w:type="dxa"/>
            <w:gridSpan w:val="2"/>
          </w:tcPr>
          <w:p w:rsidR="009E41A3" w:rsidRPr="001B00CC" w:rsidRDefault="00C0502D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sym w:font="Wingdings" w:char="F0FE"/>
            </w:r>
            <w:r w:rsidR="00190800" w:rsidRPr="001B00CC">
              <w:rPr>
                <w:rFonts w:ascii="Times New Roman" w:hAnsi="Times New Roman"/>
                <w:szCs w:val="21"/>
              </w:rPr>
              <w:t>5</w:t>
            </w:r>
            <w:r w:rsidR="00190800" w:rsidRPr="001B00CC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9E41A3" w:rsidRPr="001B00CC" w:rsidTr="00626681">
        <w:trPr>
          <w:trHeight w:val="345"/>
        </w:trPr>
        <w:tc>
          <w:tcPr>
            <w:tcW w:w="1278" w:type="dxa"/>
            <w:vMerge/>
            <w:shd w:val="clear" w:color="auto" w:fill="D9D9D9"/>
          </w:tcPr>
          <w:p w:rsidR="009E41A3" w:rsidRPr="001B00CC" w:rsidRDefault="009E41A3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480" w:type="dxa"/>
            <w:gridSpan w:val="2"/>
          </w:tcPr>
          <w:p w:rsidR="009E41A3" w:rsidRPr="001B00CC" w:rsidRDefault="00190800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□6</w:t>
            </w:r>
            <w:r w:rsidRPr="001B00CC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9E41A3" w:rsidRPr="001B00CC" w:rsidTr="00626681">
        <w:tc>
          <w:tcPr>
            <w:tcW w:w="1278" w:type="dxa"/>
            <w:shd w:val="clear" w:color="auto" w:fill="D9D9D9"/>
          </w:tcPr>
          <w:p w:rsidR="009E41A3" w:rsidRPr="001B00CC" w:rsidRDefault="00190800" w:rsidP="00DA5F6D">
            <w:pPr>
              <w:spacing w:line="240" w:lineRule="auto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t>备注</w:t>
            </w:r>
          </w:p>
        </w:tc>
        <w:tc>
          <w:tcPr>
            <w:tcW w:w="7480" w:type="dxa"/>
            <w:gridSpan w:val="2"/>
          </w:tcPr>
          <w:p w:rsidR="00C4591D" w:rsidRDefault="00C4591D" w:rsidP="00DA5F6D">
            <w:pPr>
              <w:widowControl/>
              <w:spacing w:line="240" w:lineRule="auto"/>
            </w:pPr>
            <w:r>
              <w:rPr>
                <w:rFonts w:hint="eastAsia"/>
              </w:rPr>
              <w:t>相关商品市场：</w:t>
            </w:r>
            <w:r w:rsidRPr="00E3010D">
              <w:rPr>
                <w:rFonts w:hint="eastAsia"/>
              </w:rPr>
              <w:t>纸瓶</w:t>
            </w:r>
            <w:r w:rsidRPr="00E3010D">
              <w:rPr>
                <w:rFonts w:hint="eastAsia"/>
              </w:rPr>
              <w:t>/</w:t>
            </w:r>
            <w:r w:rsidRPr="00E3010D">
              <w:rPr>
                <w:rFonts w:hint="eastAsia"/>
              </w:rPr>
              <w:t>绿色纤维瓶</w:t>
            </w:r>
          </w:p>
          <w:p w:rsidR="00C4591D" w:rsidRDefault="00C4591D" w:rsidP="00DA5F6D">
            <w:pPr>
              <w:widowControl/>
              <w:spacing w:line="240" w:lineRule="auto"/>
            </w:pPr>
            <w:r>
              <w:rPr>
                <w:rFonts w:hint="eastAsia"/>
              </w:rPr>
              <w:t>相关地域市场：欧洲</w:t>
            </w:r>
          </w:p>
          <w:p w:rsidR="00C4591D" w:rsidRDefault="00C4591D" w:rsidP="00DA5F6D">
            <w:pPr>
              <w:widowControl/>
              <w:spacing w:line="24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</w:rPr>
              <w:t>相关市场份额：</w:t>
            </w:r>
            <w:r w:rsidR="004E429A" w:rsidRPr="001B00CC">
              <w:rPr>
                <w:rFonts w:ascii="Times New Roman" w:hAnsi="Times New Roman" w:hint="eastAsia"/>
                <w:szCs w:val="21"/>
              </w:rPr>
              <w:t>ALPLA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bookmarkStart w:id="0" w:name="_GoBack"/>
            <w:bookmarkEnd w:id="0"/>
            <w:r>
              <w:rPr>
                <w:rFonts w:ascii="Times New Roman" w:hAnsi="Times New Roman" w:hint="eastAsia"/>
                <w:szCs w:val="21"/>
              </w:rPr>
              <w:t>【</w:t>
            </w:r>
            <w:r>
              <w:rPr>
                <w:rFonts w:ascii="Times New Roman" w:hAnsi="Times New Roman"/>
                <w:szCs w:val="21"/>
              </w:rPr>
              <w:t>0%</w:t>
            </w:r>
            <w:r>
              <w:rPr>
                <w:rFonts w:ascii="Times New Roman" w:hAnsi="Times New Roman" w:hint="eastAsia"/>
                <w:szCs w:val="21"/>
              </w:rPr>
              <w:t>】</w:t>
            </w:r>
          </w:p>
          <w:p w:rsidR="00C4591D" w:rsidRDefault="004E429A" w:rsidP="00C4591D">
            <w:pPr>
              <w:widowControl/>
              <w:spacing w:line="240" w:lineRule="auto"/>
              <w:ind w:firstLineChars="500" w:firstLine="10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BKV</w:t>
            </w:r>
            <w:r w:rsidR="00C4591D">
              <w:rPr>
                <w:rFonts w:ascii="Times New Roman" w:hAnsi="Times New Roman"/>
                <w:szCs w:val="21"/>
              </w:rPr>
              <w:t xml:space="preserve"> </w:t>
            </w:r>
            <w:r w:rsidR="00C4591D">
              <w:rPr>
                <w:rFonts w:ascii="Times New Roman" w:hAnsi="Times New Roman" w:hint="eastAsia"/>
                <w:szCs w:val="21"/>
              </w:rPr>
              <w:t>【</w:t>
            </w:r>
            <w:r w:rsidR="00C4591D">
              <w:rPr>
                <w:rFonts w:ascii="Times New Roman" w:hAnsi="Times New Roman" w:hint="eastAsia"/>
                <w:szCs w:val="21"/>
              </w:rPr>
              <w:t>0%</w:t>
            </w:r>
            <w:r w:rsidR="00C4591D">
              <w:rPr>
                <w:rFonts w:ascii="Times New Roman" w:hAnsi="Times New Roman" w:hint="eastAsia"/>
                <w:szCs w:val="21"/>
              </w:rPr>
              <w:t>】</w:t>
            </w:r>
          </w:p>
          <w:p w:rsidR="009E41A3" w:rsidRPr="00101985" w:rsidRDefault="00101985" w:rsidP="00C4591D">
            <w:pPr>
              <w:widowControl/>
              <w:spacing w:line="240" w:lineRule="auto"/>
              <w:ind w:firstLineChars="500" w:firstLine="1050"/>
              <w:rPr>
                <w:rFonts w:ascii="Times New Roman" w:hAnsi="Times New Roman"/>
                <w:szCs w:val="21"/>
              </w:rPr>
            </w:pPr>
            <w:r w:rsidRPr="001B00CC">
              <w:rPr>
                <w:rFonts w:ascii="Times New Roman" w:hAnsi="Times New Roman"/>
                <w:szCs w:val="21"/>
              </w:rPr>
              <w:lastRenderedPageBreak/>
              <w:t>ecoXpac</w:t>
            </w:r>
            <w:r w:rsidR="00752A0A">
              <w:rPr>
                <w:rFonts w:ascii="Times New Roman" w:hAnsi="Times New Roman"/>
                <w:szCs w:val="21"/>
              </w:rPr>
              <w:t xml:space="preserve"> A</w:t>
            </w:r>
            <w:r w:rsidR="00752A0A">
              <w:rPr>
                <w:rFonts w:ascii="Times New Roman" w:hAnsi="Times New Roman" w:hint="eastAsia"/>
                <w:szCs w:val="21"/>
              </w:rPr>
              <w:t>/S</w:t>
            </w:r>
            <w:r w:rsidR="00C4591D">
              <w:rPr>
                <w:rFonts w:ascii="Times New Roman" w:hAnsi="Times New Roman" w:hint="eastAsia"/>
                <w:szCs w:val="21"/>
              </w:rPr>
              <w:t>【</w:t>
            </w:r>
            <w:r w:rsidR="004E429A">
              <w:rPr>
                <w:rFonts w:hint="eastAsia"/>
              </w:rPr>
              <w:t>0%</w:t>
            </w:r>
            <w:r w:rsidR="00C4591D">
              <w:rPr>
                <w:rFonts w:hint="eastAsia"/>
              </w:rPr>
              <w:t>】</w:t>
            </w:r>
          </w:p>
        </w:tc>
      </w:tr>
    </w:tbl>
    <w:p w:rsidR="009E41A3" w:rsidRDefault="009E41A3" w:rsidP="00DA5F6D">
      <w:pPr>
        <w:spacing w:line="240" w:lineRule="auto"/>
        <w:rPr>
          <w:rFonts w:ascii="Times New Roman" w:hAnsi="Times New Roman"/>
        </w:rPr>
      </w:pPr>
    </w:p>
    <w:p w:rsidR="00C4591D" w:rsidRDefault="00C4591D" w:rsidP="00DA5F6D">
      <w:pPr>
        <w:spacing w:line="240" w:lineRule="auto"/>
        <w:rPr>
          <w:rFonts w:ascii="Times New Roman" w:hAnsi="Times New Roman"/>
        </w:rPr>
      </w:pPr>
    </w:p>
    <w:p w:rsidR="00C4591D" w:rsidRDefault="00C4591D" w:rsidP="00C4591D">
      <w:pPr>
        <w:snapToGrid w:val="0"/>
        <w:spacing w:line="240" w:lineRule="exact"/>
        <w:jc w:val="left"/>
        <w:rPr>
          <w:rFonts w:ascii="Arial" w:eastAsia="楷体_GB2312" w:hAnsi="Arial" w:cs="Arial"/>
          <w:kern w:val="0"/>
          <w:sz w:val="24"/>
          <w:szCs w:val="24"/>
        </w:rPr>
      </w:pPr>
      <w:r>
        <w:rPr>
          <w:rFonts w:ascii="Arial" w:eastAsia="楷体_GB2312" w:hAnsi="Arial" w:cs="Arial" w:hint="eastAsia"/>
          <w:kern w:val="0"/>
          <w:sz w:val="24"/>
          <w:szCs w:val="24"/>
        </w:rPr>
        <w:t>注解：</w:t>
      </w:r>
    </w:p>
    <w:p w:rsidR="00C4591D" w:rsidRDefault="00C4591D" w:rsidP="00C4591D">
      <w:pPr>
        <w:snapToGrid w:val="0"/>
        <w:spacing w:line="360" w:lineRule="auto"/>
        <w:ind w:firstLineChars="200" w:firstLine="480"/>
        <w:jc w:val="left"/>
        <w:rPr>
          <w:rFonts w:ascii="Arial" w:eastAsia="楷体_GB2312" w:hAnsi="Arial" w:cs="Arial"/>
          <w:kern w:val="0"/>
          <w:sz w:val="24"/>
          <w:szCs w:val="24"/>
        </w:rPr>
      </w:pPr>
      <w:r>
        <w:rPr>
          <w:rFonts w:ascii="Arial" w:eastAsia="楷体_GB2312" w:hAnsi="Arial" w:cs="Arial"/>
          <w:kern w:val="0"/>
          <w:sz w:val="24"/>
          <w:szCs w:val="24"/>
        </w:rPr>
        <w:t>1.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申报方申请简易案件的理由是基于</w:t>
      </w:r>
      <w:r>
        <w:rPr>
          <w:rFonts w:ascii="Arial" w:eastAsia="楷体_GB2312" w:hAnsi="Arial" w:cs="Arial"/>
          <w:kern w:val="0"/>
          <w:sz w:val="24"/>
          <w:szCs w:val="24"/>
        </w:rPr>
        <w:t>1-3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Arial" w:eastAsia="楷体_GB2312" w:hAnsi="Arial" w:cs="Arial"/>
          <w:kern w:val="0"/>
          <w:sz w:val="24"/>
          <w:szCs w:val="24"/>
        </w:rPr>
        <w:t>5%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。</w:t>
      </w:r>
      <w:r>
        <w:rPr>
          <w:rFonts w:ascii="Arial" w:eastAsia="楷体_GB2312" w:hAnsi="Arial" w:cs="Arial"/>
          <w:kern w:val="0"/>
          <w:sz w:val="24"/>
          <w:szCs w:val="24"/>
        </w:rPr>
        <w:t>1-3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项可以多选，也可单选；没有勾选的，视为本集中不涉及该类型交易。</w:t>
      </w:r>
    </w:p>
    <w:p w:rsidR="00C4591D" w:rsidRDefault="00C4591D" w:rsidP="00C4591D">
      <w:pPr>
        <w:spacing w:line="360" w:lineRule="auto"/>
        <w:ind w:firstLineChars="200" w:firstLine="480"/>
        <w:rPr>
          <w:rFonts w:ascii="Arial" w:eastAsia="宋体" w:hAnsi="Arial" w:cs="Arial"/>
          <w:b/>
          <w:szCs w:val="21"/>
        </w:rPr>
      </w:pPr>
      <w:r>
        <w:rPr>
          <w:rFonts w:ascii="Arial" w:eastAsia="楷体_GB2312" w:hAnsi="Arial" w:cs="Arial"/>
          <w:kern w:val="0"/>
          <w:sz w:val="24"/>
          <w:szCs w:val="24"/>
        </w:rPr>
        <w:t>2.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申报方申请简易案件的理由是基于第</w:t>
      </w:r>
      <w:r>
        <w:rPr>
          <w:rFonts w:ascii="Arial" w:eastAsia="楷体_GB2312" w:hAnsi="Arial" w:cs="Arial"/>
          <w:kern w:val="0"/>
          <w:sz w:val="24"/>
          <w:szCs w:val="24"/>
        </w:rPr>
        <w:t>4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项、第</w:t>
      </w:r>
      <w:r>
        <w:rPr>
          <w:rFonts w:ascii="Arial" w:eastAsia="楷体_GB2312" w:hAnsi="Arial" w:cs="Arial"/>
          <w:kern w:val="0"/>
          <w:sz w:val="24"/>
          <w:szCs w:val="24"/>
        </w:rPr>
        <w:t>5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项时，无须在备注中说明相关市场和市场份额。</w:t>
      </w:r>
      <w:r>
        <w:rPr>
          <w:rFonts w:ascii="Arial" w:eastAsia="楷体_GB2312" w:hAnsi="Arial" w:cs="Arial"/>
          <w:kern w:val="0"/>
          <w:sz w:val="24"/>
          <w:szCs w:val="24"/>
        </w:rPr>
        <w:br/>
        <w:t xml:space="preserve">    3.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Arial" w:eastAsia="楷体_GB2312" w:hAnsi="Arial" w:cs="Arial"/>
          <w:kern w:val="0"/>
          <w:sz w:val="24"/>
          <w:szCs w:val="24"/>
        </w:rPr>
        <w:t>1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项和第</w:t>
      </w:r>
      <w:r>
        <w:rPr>
          <w:rFonts w:ascii="Arial" w:eastAsia="楷体_GB2312" w:hAnsi="Arial" w:cs="Arial"/>
          <w:kern w:val="0"/>
          <w:sz w:val="24"/>
          <w:szCs w:val="24"/>
        </w:rPr>
        <w:t>6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Arial" w:eastAsia="楷体_GB2312" w:hAnsi="Arial" w:cs="Arial"/>
          <w:kern w:val="0"/>
          <w:sz w:val="24"/>
          <w:szCs w:val="24"/>
        </w:rPr>
        <w:t>5%</w:t>
      </w:r>
      <w:r>
        <w:rPr>
          <w:rFonts w:ascii="Arial" w:eastAsia="楷体_GB2312" w:hAnsi="Arial" w:cs="Arial" w:hint="eastAsia"/>
          <w:kern w:val="0"/>
          <w:sz w:val="24"/>
          <w:szCs w:val="24"/>
        </w:rPr>
        <w:t>。</w:t>
      </w:r>
    </w:p>
    <w:p w:rsidR="00C4591D" w:rsidRPr="00C4591D" w:rsidRDefault="00C4591D" w:rsidP="00DA5F6D">
      <w:pPr>
        <w:spacing w:line="240" w:lineRule="auto"/>
        <w:rPr>
          <w:rFonts w:ascii="Times New Roman" w:hAnsi="Times New Roman"/>
        </w:rPr>
      </w:pPr>
    </w:p>
    <w:sectPr w:rsidR="00C4591D" w:rsidRPr="00C459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6940" w:rsidRDefault="00206940" w:rsidP="00626681">
      <w:pPr>
        <w:spacing w:after="0" w:line="240" w:lineRule="auto"/>
      </w:pPr>
      <w:r>
        <w:separator/>
      </w:r>
    </w:p>
  </w:endnote>
  <w:endnote w:type="continuationSeparator" w:id="0">
    <w:p w:rsidR="00206940" w:rsidRDefault="00206940" w:rsidP="00626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6940" w:rsidRDefault="00206940" w:rsidP="00626681">
      <w:pPr>
        <w:spacing w:after="0" w:line="240" w:lineRule="auto"/>
      </w:pPr>
      <w:r>
        <w:separator/>
      </w:r>
    </w:p>
  </w:footnote>
  <w:footnote w:type="continuationSeparator" w:id="0">
    <w:p w:rsidR="00206940" w:rsidRDefault="00206940" w:rsidP="006266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095"/>
    <w:rsid w:val="00002794"/>
    <w:rsid w:val="00012ACF"/>
    <w:rsid w:val="00014F3D"/>
    <w:rsid w:val="00094095"/>
    <w:rsid w:val="000F3D60"/>
    <w:rsid w:val="00101985"/>
    <w:rsid w:val="00123DF9"/>
    <w:rsid w:val="00157F4D"/>
    <w:rsid w:val="00162A54"/>
    <w:rsid w:val="0017663E"/>
    <w:rsid w:val="00190800"/>
    <w:rsid w:val="001B00CC"/>
    <w:rsid w:val="001B5421"/>
    <w:rsid w:val="001D4376"/>
    <w:rsid w:val="001D4552"/>
    <w:rsid w:val="001D59B6"/>
    <w:rsid w:val="001F2DCA"/>
    <w:rsid w:val="00206940"/>
    <w:rsid w:val="002255E6"/>
    <w:rsid w:val="00245776"/>
    <w:rsid w:val="00253FF0"/>
    <w:rsid w:val="00254730"/>
    <w:rsid w:val="00256A42"/>
    <w:rsid w:val="00267AD1"/>
    <w:rsid w:val="002B1541"/>
    <w:rsid w:val="002F2D60"/>
    <w:rsid w:val="00300FE1"/>
    <w:rsid w:val="003067E1"/>
    <w:rsid w:val="00307976"/>
    <w:rsid w:val="003D4FC2"/>
    <w:rsid w:val="00436081"/>
    <w:rsid w:val="00462174"/>
    <w:rsid w:val="00491A41"/>
    <w:rsid w:val="004E429A"/>
    <w:rsid w:val="005025B1"/>
    <w:rsid w:val="00505B5A"/>
    <w:rsid w:val="00516537"/>
    <w:rsid w:val="005336DC"/>
    <w:rsid w:val="005405E6"/>
    <w:rsid w:val="00553291"/>
    <w:rsid w:val="00556476"/>
    <w:rsid w:val="005753B9"/>
    <w:rsid w:val="00590900"/>
    <w:rsid w:val="00590ABB"/>
    <w:rsid w:val="005C4166"/>
    <w:rsid w:val="005F167B"/>
    <w:rsid w:val="005F6CA3"/>
    <w:rsid w:val="00626681"/>
    <w:rsid w:val="0062781B"/>
    <w:rsid w:val="00633FC1"/>
    <w:rsid w:val="006B4FC4"/>
    <w:rsid w:val="006E2FF1"/>
    <w:rsid w:val="00737CA2"/>
    <w:rsid w:val="00750D5D"/>
    <w:rsid w:val="00752A0A"/>
    <w:rsid w:val="00754F2D"/>
    <w:rsid w:val="007607C1"/>
    <w:rsid w:val="00781C92"/>
    <w:rsid w:val="00782DD5"/>
    <w:rsid w:val="00785BE3"/>
    <w:rsid w:val="00793DED"/>
    <w:rsid w:val="007A56B8"/>
    <w:rsid w:val="008621E6"/>
    <w:rsid w:val="00870CB9"/>
    <w:rsid w:val="00876714"/>
    <w:rsid w:val="0089393B"/>
    <w:rsid w:val="008A1BD9"/>
    <w:rsid w:val="008B7730"/>
    <w:rsid w:val="008D6EB8"/>
    <w:rsid w:val="008E0596"/>
    <w:rsid w:val="0092528D"/>
    <w:rsid w:val="009427B5"/>
    <w:rsid w:val="009608AE"/>
    <w:rsid w:val="00995CFE"/>
    <w:rsid w:val="009C2BF4"/>
    <w:rsid w:val="009E41A3"/>
    <w:rsid w:val="00A34374"/>
    <w:rsid w:val="00A36C19"/>
    <w:rsid w:val="00A4556A"/>
    <w:rsid w:val="00A4705C"/>
    <w:rsid w:val="00A664CC"/>
    <w:rsid w:val="00AC4EE1"/>
    <w:rsid w:val="00AE74B2"/>
    <w:rsid w:val="00AF19CA"/>
    <w:rsid w:val="00B04864"/>
    <w:rsid w:val="00B411F2"/>
    <w:rsid w:val="00B5189A"/>
    <w:rsid w:val="00B91AD4"/>
    <w:rsid w:val="00BA0750"/>
    <w:rsid w:val="00BB2377"/>
    <w:rsid w:val="00BF1BC1"/>
    <w:rsid w:val="00BF6E13"/>
    <w:rsid w:val="00C0502D"/>
    <w:rsid w:val="00C4591D"/>
    <w:rsid w:val="00C8646D"/>
    <w:rsid w:val="00C9068E"/>
    <w:rsid w:val="00CE1E41"/>
    <w:rsid w:val="00D03203"/>
    <w:rsid w:val="00D21777"/>
    <w:rsid w:val="00D67051"/>
    <w:rsid w:val="00D86991"/>
    <w:rsid w:val="00DA3A1A"/>
    <w:rsid w:val="00DA5F6D"/>
    <w:rsid w:val="00DC42CF"/>
    <w:rsid w:val="00DC6AE8"/>
    <w:rsid w:val="00DD0A59"/>
    <w:rsid w:val="00E43109"/>
    <w:rsid w:val="00EB4A3F"/>
    <w:rsid w:val="00EB5769"/>
    <w:rsid w:val="00ED21B1"/>
    <w:rsid w:val="00EF5DC1"/>
    <w:rsid w:val="00F620CE"/>
    <w:rsid w:val="00F75761"/>
    <w:rsid w:val="00F87C1F"/>
    <w:rsid w:val="23F91011"/>
    <w:rsid w:val="48571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1C14C"/>
  <w15:docId w15:val="{20417D94-6CC5-4E99-AE5C-582EDE17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endnote text"/>
    <w:basedOn w:val="a"/>
    <w:link w:val="a8"/>
    <w:uiPriority w:val="99"/>
    <w:semiHidden/>
    <w:unhideWhenUsed/>
    <w:pPr>
      <w:snapToGrid w:val="0"/>
      <w:jc w:val="left"/>
    </w:p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">
    <w:name w:val="endnote reference"/>
    <w:uiPriority w:val="99"/>
    <w:semiHidden/>
    <w:unhideWhenUsed/>
    <w:qFormat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尾注文本 字符"/>
    <w:basedOn w:val="a0"/>
    <w:link w:val="a7"/>
    <w:uiPriority w:val="99"/>
    <w:semiHidden/>
    <w:qFormat/>
  </w:style>
  <w:style w:type="character" w:customStyle="1" w:styleId="ae">
    <w:name w:val="页眉 字符"/>
    <w:link w:val="ad"/>
    <w:uiPriority w:val="99"/>
    <w:qFormat/>
    <w:rPr>
      <w:sz w:val="18"/>
      <w:szCs w:val="18"/>
    </w:rPr>
  </w:style>
  <w:style w:type="character" w:customStyle="1" w:styleId="ac">
    <w:name w:val="页脚 字符"/>
    <w:link w:val="ab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kern w:val="2"/>
      <w:sz w:val="21"/>
      <w:szCs w:val="22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kern w:val="2"/>
      <w:sz w:val="21"/>
      <w:szCs w:val="22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2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7B90DF-2F45-413E-8499-B9395090D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Wang</dc:creator>
  <cp:lastModifiedBy>huawei zhang</cp:lastModifiedBy>
  <cp:revision>28</cp:revision>
  <cp:lastPrinted>2015-08-17T08:05:00Z</cp:lastPrinted>
  <dcterms:created xsi:type="dcterms:W3CDTF">2015-09-06T13:56:00Z</dcterms:created>
  <dcterms:modified xsi:type="dcterms:W3CDTF">2019-06-12T08:32:00Z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