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jc w:val="lef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福建天马科技集团股份有限公司收购福建省华龙集团饲料有限公司股权案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jc w:val="left"/>
              <w:rPr>
                <w:rFonts w:hint="default" w:ascii="仿宋" w:hAnsi="仿宋" w:eastAsia="仿宋" w:cs="宋体"/>
                <w:color w:val="333333"/>
                <w:kern w:val="0"/>
                <w:sz w:val="24"/>
                <w:szCs w:val="24"/>
                <w:lang w:val="en-US"/>
              </w:rPr>
            </w:pPr>
            <w:r>
              <w:rPr>
                <w:rFonts w:hint="eastAsia" w:ascii="仿宋" w:hAnsi="仿宋" w:eastAsia="仿宋" w:cs="宋体"/>
                <w:color w:val="333333"/>
                <w:kern w:val="0"/>
                <w:sz w:val="24"/>
                <w:szCs w:val="24"/>
              </w:rPr>
              <w:t>福建天马科技集团股份有限公司</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lang w:val="en-US" w:eastAsia="zh-CN"/>
              </w:rPr>
              <w:t>天马科技”</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lang w:val="en-US" w:eastAsia="zh-CN"/>
              </w:rPr>
              <w:t>拟收购</w:t>
            </w:r>
            <w:r>
              <w:rPr>
                <w:rFonts w:hint="eastAsia" w:ascii="仿宋" w:hAnsi="仿宋" w:eastAsia="仿宋" w:cs="宋体"/>
                <w:color w:val="333333"/>
                <w:kern w:val="0"/>
                <w:sz w:val="24"/>
                <w:szCs w:val="24"/>
              </w:rPr>
              <w:t>福建省华龙集团饲料有限公司</w:t>
            </w:r>
            <w:r>
              <w:rPr>
                <w:rFonts w:hint="eastAsia" w:ascii="仿宋" w:hAnsi="仿宋" w:eastAsia="仿宋" w:cs="宋体"/>
                <w:color w:val="333333"/>
                <w:kern w:val="0"/>
                <w:sz w:val="24"/>
                <w:szCs w:val="24"/>
                <w:lang w:val="en-US" w:eastAsia="zh-CN"/>
              </w:rPr>
              <w:t>（“华龙集团”）72%股权并获得对其的单方控制权。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vAlign w:val="center"/>
          </w:tcPr>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rPr>
              <w:t>1、</w:t>
            </w:r>
            <w:r>
              <w:rPr>
                <w:rFonts w:hint="eastAsia" w:ascii="仿宋" w:hAnsi="仿宋" w:eastAsia="仿宋" w:cs="宋体"/>
                <w:color w:val="333333"/>
                <w:kern w:val="0"/>
                <w:sz w:val="24"/>
                <w:szCs w:val="24"/>
                <w:lang w:val="en-US" w:eastAsia="zh-CN"/>
              </w:rPr>
              <w:t>天马科技</w:t>
            </w:r>
          </w:p>
        </w:tc>
        <w:tc>
          <w:tcPr>
            <w:tcW w:w="5153" w:type="dxa"/>
            <w:vAlign w:val="center"/>
          </w:tcPr>
          <w:p>
            <w:pPr>
              <w:spacing w:line="500" w:lineRule="exact"/>
              <w:jc w:val="lef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天马科技</w:t>
            </w:r>
            <w:r>
              <w:rPr>
                <w:rFonts w:hint="default" w:ascii="仿宋" w:hAnsi="仿宋" w:eastAsia="仿宋" w:cs="宋体"/>
                <w:color w:val="333333"/>
                <w:kern w:val="0"/>
                <w:sz w:val="24"/>
                <w:szCs w:val="24"/>
              </w:rPr>
              <w:t>主要从事水产饲料</w:t>
            </w:r>
            <w:r>
              <w:rPr>
                <w:rFonts w:hint="default" w:ascii="仿宋" w:hAnsi="仿宋" w:eastAsia="仿宋" w:cs="宋体"/>
                <w:color w:val="333333"/>
                <w:kern w:val="0"/>
                <w:sz w:val="24"/>
                <w:szCs w:val="24"/>
                <w:lang w:val="en-US" w:eastAsia="zh-CN"/>
              </w:rPr>
              <w:t>的</w:t>
            </w:r>
            <w:r>
              <w:rPr>
                <w:rFonts w:hint="default" w:ascii="仿宋" w:hAnsi="仿宋" w:eastAsia="仿宋" w:cs="宋体"/>
                <w:color w:val="333333"/>
                <w:kern w:val="0"/>
                <w:sz w:val="24"/>
                <w:szCs w:val="24"/>
              </w:rPr>
              <w:t>生产、销售业务</w:t>
            </w:r>
            <w:r>
              <w:rPr>
                <w:rFonts w:hint="default" w:ascii="仿宋" w:hAnsi="仿宋" w:eastAsia="仿宋" w:cs="宋体"/>
                <w:color w:val="333333"/>
                <w:kern w:val="0"/>
                <w:sz w:val="24"/>
                <w:szCs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vAlign w:val="center"/>
          </w:tcPr>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rPr>
              <w:t>2、</w:t>
            </w:r>
            <w:r>
              <w:rPr>
                <w:rFonts w:hint="eastAsia" w:ascii="仿宋" w:hAnsi="仿宋" w:eastAsia="仿宋" w:cs="宋体"/>
                <w:color w:val="333333"/>
                <w:kern w:val="0"/>
                <w:sz w:val="24"/>
                <w:szCs w:val="24"/>
                <w:lang w:val="en-US" w:eastAsia="zh-CN"/>
              </w:rPr>
              <w:t>华龙集团</w:t>
            </w:r>
          </w:p>
        </w:tc>
        <w:tc>
          <w:tcPr>
            <w:tcW w:w="5153" w:type="dxa"/>
            <w:vAlign w:val="center"/>
          </w:tcPr>
          <w:p>
            <w:pPr>
              <w:spacing w:line="500" w:lineRule="exact"/>
              <w:jc w:val="lef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华龙集团主要从事猪饲料、鸭饲料的生产、销售业务。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52"/>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就相关市场界定及双方在各相关市场的市场份额情况如下：</w:t>
            </w:r>
          </w:p>
          <w:p>
            <w:pPr>
              <w:numPr>
                <w:ilvl w:val="0"/>
                <w:numId w:val="1"/>
              </w:num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中国猪饲料市场</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华龙集团：[0%-5%]</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天马科技：0%</w:t>
            </w:r>
          </w:p>
          <w:p>
            <w:pPr>
              <w:numPr>
                <w:ilvl w:val="0"/>
                <w:numId w:val="1"/>
              </w:num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中国鸭饲料市场</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华龙集团：[0%-5%]</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天马科技：0%</w:t>
            </w:r>
            <w:bookmarkStart w:id="0" w:name="_GoBack"/>
            <w:bookmarkEnd w:id="0"/>
          </w:p>
        </w:tc>
      </w:tr>
    </w:tbl>
    <w:p>
      <w:pPr>
        <w:snapToGrid w:val="0"/>
        <w:spacing w:line="240" w:lineRule="exact"/>
        <w:jc w:val="left"/>
        <w:rPr>
          <w:rFonts w:hint="eastAsia" w:ascii="楷体_GB2312" w:hAnsi="宋体" w:eastAsia="楷体_GB2312"/>
          <w:sz w:val="24"/>
          <w:szCs w:val="24"/>
        </w:rPr>
      </w:pPr>
    </w:p>
    <w:p>
      <w:pPr>
        <w:snapToGrid w:val="0"/>
        <w:spacing w:line="240" w:lineRule="exact"/>
        <w:jc w:val="left"/>
        <w:rPr>
          <w:rFonts w:hint="eastAsia"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hint="eastAsia"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hint="eastAsia"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_GB2312">
    <w:altName w:val="楷体"/>
    <w:panose1 w:val="02010609030101010101"/>
    <w:charset w:val="86"/>
    <w:family w:val="modern"/>
    <w:pitch w:val="default"/>
    <w:sig w:usb0="00000000" w:usb1="00000000" w:usb2="00000010" w:usb3="00000000" w:csb0="00040000" w:csb1="00000000"/>
  </w:font>
  <w:font w:name="方正仿宋_GBK">
    <w:altName w:val="微软雅黑"/>
    <w:panose1 w:val="03000509000000000000"/>
    <w:charset w:val="86"/>
    <w:family w:val="script"/>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ADFCF23"/>
    <w:multiLevelType w:val="singleLevel"/>
    <w:tmpl w:val="BADFCF2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1164CD"/>
    <w:rsid w:val="00155717"/>
    <w:rsid w:val="001837A3"/>
    <w:rsid w:val="003C0AEB"/>
    <w:rsid w:val="004F7688"/>
    <w:rsid w:val="006467D8"/>
    <w:rsid w:val="006A531B"/>
    <w:rsid w:val="006F7693"/>
    <w:rsid w:val="00710140"/>
    <w:rsid w:val="007F2275"/>
    <w:rsid w:val="00915F0F"/>
    <w:rsid w:val="009532DF"/>
    <w:rsid w:val="00997019"/>
    <w:rsid w:val="009A5029"/>
    <w:rsid w:val="009D38D5"/>
    <w:rsid w:val="00A53F26"/>
    <w:rsid w:val="00AA0CC5"/>
    <w:rsid w:val="00B16AFE"/>
    <w:rsid w:val="00B65DD5"/>
    <w:rsid w:val="00BD10B6"/>
    <w:rsid w:val="00C07076"/>
    <w:rsid w:val="00CB00DF"/>
    <w:rsid w:val="00D73C72"/>
    <w:rsid w:val="00E0592B"/>
    <w:rsid w:val="00E31738"/>
    <w:rsid w:val="00E86786"/>
    <w:rsid w:val="00ED2F80"/>
    <w:rsid w:val="00F1624E"/>
    <w:rsid w:val="00F32F8A"/>
    <w:rsid w:val="00F810AA"/>
    <w:rsid w:val="00FB43EC"/>
    <w:rsid w:val="00FB6B40"/>
    <w:rsid w:val="0D57239A"/>
    <w:rsid w:val="12DC3CEC"/>
    <w:rsid w:val="2BF61159"/>
    <w:rsid w:val="36C4590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105</Words>
  <Characters>600</Characters>
  <Lines>5</Lines>
  <Paragraphs>1</Paragraphs>
  <TotalTime>1</TotalTime>
  <ScaleCrop>false</ScaleCrop>
  <LinksUpToDate>false</LinksUpToDate>
  <CharactersWithSpaces>704</CharactersWithSpaces>
  <Application>WPS Office_11.1.0.8731_F1E327BC-269C-435d-A152-05C5408002CA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TY</cp:lastModifiedBy>
  <dcterms:modified xsi:type="dcterms:W3CDTF">2019-06-24T05:16:11Z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2052-11.1.0.8731</vt:lpwstr>
  </property>
</Properties>
</file>