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1511" w:rsidRDefault="00CD1511">
      <w:pPr>
        <w:spacing w:line="500" w:lineRule="exact"/>
        <w:rPr>
          <w:rFonts w:ascii="仿宋_GB2312" w:eastAsia="仿宋_GB2312" w:hAnsi="Times New Roman" w:hint="eastAsia"/>
          <w:sz w:val="28"/>
          <w:szCs w:val="28"/>
        </w:rPr>
      </w:pPr>
    </w:p>
    <w:p w:rsidR="00CD1511" w:rsidRDefault="00B834D2">
      <w:pPr>
        <w:spacing w:line="440" w:lineRule="exact"/>
        <w:jc w:val="center"/>
        <w:rPr>
          <w:rFonts w:ascii="黑体" w:eastAsia="黑体" w:hAnsi="Times New Roman"/>
          <w:sz w:val="30"/>
          <w:szCs w:val="30"/>
        </w:rPr>
      </w:pPr>
      <w:r>
        <w:rPr>
          <w:rFonts w:ascii="黑体" w:eastAsia="黑体" w:hAnsi="Times New Roman" w:hint="eastAsia"/>
          <w:sz w:val="30"/>
          <w:szCs w:val="30"/>
        </w:rPr>
        <w:t>经营者集中简易案件公示表</w:t>
      </w:r>
    </w:p>
    <w:p w:rsidR="00CD1511" w:rsidRDefault="00CD1511">
      <w:pPr>
        <w:spacing w:line="440" w:lineRule="exact"/>
        <w:rPr>
          <w:rFonts w:ascii="黑体" w:eastAsia="黑体" w:hAnsi="Times New Roman"/>
          <w:sz w:val="28"/>
          <w:szCs w:val="28"/>
        </w:rPr>
      </w:pPr>
    </w:p>
    <w:p w:rsidR="00CD1511" w:rsidRDefault="00CD1511" w:rsidP="008B4FB2">
      <w:pPr>
        <w:spacing w:line="440" w:lineRule="exact"/>
        <w:ind w:firstLineChars="302" w:firstLine="846"/>
        <w:rPr>
          <w:rFonts w:ascii="仿宋_GB2312" w:eastAsia="仿宋_GB2312" w:hAnsi="Times New Roman"/>
          <w:sz w:val="28"/>
          <w:szCs w:val="28"/>
        </w:rPr>
      </w:pPr>
    </w:p>
    <w:tbl>
      <w:tblPr>
        <w:tblStyle w:val="a8"/>
        <w:tblW w:w="8758" w:type="dxa"/>
        <w:tblLayout w:type="fixed"/>
        <w:tblLook w:val="04A0" w:firstRow="1" w:lastRow="0" w:firstColumn="1" w:lastColumn="0" w:noHBand="0" w:noVBand="1"/>
      </w:tblPr>
      <w:tblGrid>
        <w:gridCol w:w="1242"/>
        <w:gridCol w:w="2835"/>
        <w:gridCol w:w="4681"/>
      </w:tblGrid>
      <w:tr w:rsidR="00CD1511">
        <w:tc>
          <w:tcPr>
            <w:tcW w:w="1242" w:type="dxa"/>
          </w:tcPr>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案件名称</w:t>
            </w:r>
          </w:p>
        </w:tc>
        <w:tc>
          <w:tcPr>
            <w:tcW w:w="7516" w:type="dxa"/>
            <w:gridSpan w:val="2"/>
          </w:tcPr>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招商局蛇口工业区控股股份有限公司收购中航善达股份有限公司股权案</w:t>
            </w:r>
          </w:p>
        </w:tc>
      </w:tr>
      <w:tr w:rsidR="00CD1511">
        <w:trPr>
          <w:trHeight w:val="993"/>
        </w:trPr>
        <w:tc>
          <w:tcPr>
            <w:tcW w:w="1242" w:type="dxa"/>
          </w:tcPr>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交易概况（限</w:t>
            </w:r>
            <w:r>
              <w:rPr>
                <w:rFonts w:ascii="仿宋_GB2312" w:eastAsia="仿宋_GB2312" w:hAnsi="Times New Roman" w:hint="eastAsia"/>
                <w:sz w:val="28"/>
                <w:szCs w:val="28"/>
              </w:rPr>
              <w:t>200</w:t>
            </w:r>
            <w:r>
              <w:rPr>
                <w:rFonts w:ascii="仿宋_GB2312" w:eastAsia="仿宋_GB2312" w:hAnsi="Times New Roman" w:hint="eastAsia"/>
                <w:sz w:val="28"/>
                <w:szCs w:val="28"/>
              </w:rPr>
              <w:t>字内）</w:t>
            </w:r>
          </w:p>
        </w:tc>
        <w:tc>
          <w:tcPr>
            <w:tcW w:w="7516" w:type="dxa"/>
            <w:gridSpan w:val="2"/>
          </w:tcPr>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招商局蛇口工业区控股股份有限公司（下称“招商蛇口”）购买中航善达股份有限公司（下称“中航善达”）</w:t>
            </w:r>
            <w:r>
              <w:rPr>
                <w:rFonts w:ascii="仿宋_GB2312" w:eastAsia="仿宋_GB2312" w:hAnsi="Times New Roman" w:hint="eastAsia"/>
                <w:sz w:val="28"/>
                <w:szCs w:val="28"/>
              </w:rPr>
              <w:t xml:space="preserve"> 22.35%</w:t>
            </w:r>
            <w:r>
              <w:rPr>
                <w:rFonts w:ascii="仿宋_GB2312" w:eastAsia="仿宋_GB2312" w:hAnsi="Times New Roman" w:hint="eastAsia"/>
                <w:sz w:val="28"/>
                <w:szCs w:val="28"/>
              </w:rPr>
              <w:t>股份及以招商</w:t>
            </w:r>
            <w:r>
              <w:rPr>
                <w:rFonts w:ascii="仿宋_GB2312" w:eastAsia="仿宋_GB2312" w:hAnsi="Times New Roman" w:hint="eastAsia"/>
                <w:sz w:val="28"/>
                <w:szCs w:val="28"/>
              </w:rPr>
              <w:t>局</w:t>
            </w:r>
            <w:r>
              <w:rPr>
                <w:rFonts w:ascii="仿宋_GB2312" w:eastAsia="仿宋_GB2312" w:hAnsi="Times New Roman" w:hint="eastAsia"/>
                <w:sz w:val="28"/>
                <w:szCs w:val="28"/>
              </w:rPr>
              <w:t>物业</w:t>
            </w:r>
            <w:r>
              <w:rPr>
                <w:rFonts w:ascii="仿宋_GB2312" w:eastAsia="仿宋_GB2312" w:hAnsi="Times New Roman" w:hint="eastAsia"/>
                <w:sz w:val="28"/>
                <w:szCs w:val="28"/>
              </w:rPr>
              <w:t>管理有限公司</w:t>
            </w:r>
            <w:r>
              <w:rPr>
                <w:rFonts w:ascii="仿宋_GB2312" w:eastAsia="仿宋_GB2312" w:hAnsi="Times New Roman" w:hint="eastAsia"/>
                <w:sz w:val="28"/>
                <w:szCs w:val="28"/>
              </w:rPr>
              <w:t>（下称“招商物业”）</w:t>
            </w:r>
            <w:r>
              <w:rPr>
                <w:rFonts w:ascii="仿宋_GB2312" w:eastAsia="仿宋_GB2312" w:hAnsi="Times New Roman" w:hint="eastAsia"/>
                <w:sz w:val="28"/>
                <w:szCs w:val="28"/>
              </w:rPr>
              <w:t>100%</w:t>
            </w:r>
            <w:r>
              <w:rPr>
                <w:rFonts w:ascii="仿宋_GB2312" w:eastAsia="仿宋_GB2312" w:hAnsi="Times New Roman" w:hint="eastAsia"/>
                <w:sz w:val="28"/>
                <w:szCs w:val="28"/>
              </w:rPr>
              <w:t>股权认购中航善达非公开发行股份。中航国际控股将其持有</w:t>
            </w:r>
            <w:r>
              <w:rPr>
                <w:rFonts w:ascii="仿宋_GB2312" w:eastAsia="仿宋_GB2312" w:hAnsi="Times New Roman" w:hint="eastAsia"/>
                <w:sz w:val="28"/>
                <w:szCs w:val="28"/>
              </w:rPr>
              <w:t>22.35%</w:t>
            </w:r>
            <w:r>
              <w:rPr>
                <w:rFonts w:ascii="仿宋_GB2312" w:eastAsia="仿宋_GB2312" w:hAnsi="Times New Roman" w:hint="eastAsia"/>
                <w:sz w:val="28"/>
                <w:szCs w:val="28"/>
              </w:rPr>
              <w:t>的中航善达股份（</w:t>
            </w:r>
            <w:r>
              <w:rPr>
                <w:rFonts w:ascii="仿宋_GB2312" w:eastAsia="仿宋_GB2312" w:hAnsi="Times New Roman" w:hint="eastAsia"/>
                <w:sz w:val="28"/>
                <w:szCs w:val="28"/>
              </w:rPr>
              <w:t>149,087,820</w:t>
            </w:r>
            <w:r>
              <w:rPr>
                <w:rFonts w:ascii="仿宋_GB2312" w:eastAsia="仿宋_GB2312" w:hAnsi="Times New Roman" w:hint="eastAsia"/>
                <w:sz w:val="28"/>
                <w:szCs w:val="28"/>
              </w:rPr>
              <w:t>股）以</w:t>
            </w:r>
            <w:r>
              <w:rPr>
                <w:rFonts w:ascii="仿宋_GB2312" w:eastAsia="仿宋_GB2312" w:hAnsi="Times New Roman" w:hint="eastAsia"/>
                <w:sz w:val="28"/>
                <w:szCs w:val="28"/>
              </w:rPr>
              <w:t>8.</w:t>
            </w:r>
            <w:r>
              <w:rPr>
                <w:rFonts w:ascii="仿宋_GB2312" w:eastAsia="仿宋_GB2312" w:hAnsi="Times New Roman" w:hint="eastAsia"/>
                <w:sz w:val="28"/>
                <w:szCs w:val="28"/>
              </w:rPr>
              <w:t>6</w:t>
            </w:r>
            <w:r>
              <w:rPr>
                <w:rFonts w:ascii="仿宋_GB2312" w:eastAsia="仿宋_GB2312" w:hAnsi="Times New Roman" w:hint="eastAsia"/>
                <w:sz w:val="28"/>
                <w:szCs w:val="28"/>
              </w:rPr>
              <w:t>5</w:t>
            </w:r>
            <w:r>
              <w:rPr>
                <w:rFonts w:ascii="仿宋_GB2312" w:eastAsia="仿宋_GB2312" w:hAnsi="Times New Roman" w:hint="eastAsia"/>
                <w:sz w:val="28"/>
                <w:szCs w:val="28"/>
              </w:rPr>
              <w:t>元人民币</w:t>
            </w:r>
            <w:r>
              <w:rPr>
                <w:rFonts w:ascii="仿宋_GB2312" w:eastAsia="仿宋_GB2312" w:hAnsi="Times New Roman" w:hint="eastAsia"/>
                <w:sz w:val="28"/>
                <w:szCs w:val="28"/>
              </w:rPr>
              <w:t>/</w:t>
            </w:r>
            <w:r>
              <w:rPr>
                <w:rFonts w:ascii="仿宋_GB2312" w:eastAsia="仿宋_GB2312" w:hAnsi="Times New Roman" w:hint="eastAsia"/>
                <w:sz w:val="28"/>
                <w:szCs w:val="28"/>
              </w:rPr>
              <w:t>股转让给</w:t>
            </w:r>
            <w:r>
              <w:rPr>
                <w:rFonts w:ascii="仿宋_GB2312" w:eastAsia="仿宋_GB2312" w:hAnsi="Times New Roman" w:hint="eastAsia"/>
                <w:sz w:val="28"/>
                <w:szCs w:val="28"/>
              </w:rPr>
              <w:t>招商蛇口</w:t>
            </w:r>
            <w:r>
              <w:rPr>
                <w:rFonts w:ascii="仿宋_GB2312" w:eastAsia="仿宋_GB2312" w:hAnsi="Times New Roman" w:hint="eastAsia"/>
                <w:sz w:val="28"/>
                <w:szCs w:val="28"/>
              </w:rPr>
              <w:t>。中航善达向招商蛇口及深圳</w:t>
            </w:r>
            <w:r>
              <w:rPr>
                <w:rFonts w:ascii="仿宋_GB2312" w:eastAsia="仿宋_GB2312" w:hAnsi="Times New Roman" w:hint="eastAsia"/>
                <w:sz w:val="28"/>
                <w:szCs w:val="28"/>
              </w:rPr>
              <w:t>招商房</w:t>
            </w:r>
            <w:r>
              <w:rPr>
                <w:rFonts w:ascii="仿宋_GB2312" w:eastAsia="仿宋_GB2312" w:hAnsi="Times New Roman" w:hint="eastAsia"/>
                <w:sz w:val="28"/>
                <w:szCs w:val="28"/>
              </w:rPr>
              <w:t>地产</w:t>
            </w:r>
            <w:r>
              <w:rPr>
                <w:rFonts w:ascii="仿宋_GB2312" w:eastAsia="仿宋_GB2312" w:hAnsi="Times New Roman" w:hint="eastAsia"/>
                <w:sz w:val="28"/>
                <w:szCs w:val="28"/>
              </w:rPr>
              <w:t>有限公司</w:t>
            </w:r>
            <w:r>
              <w:rPr>
                <w:rFonts w:ascii="仿宋_GB2312" w:eastAsia="仿宋_GB2312" w:hAnsi="Times New Roman" w:hint="eastAsia"/>
                <w:sz w:val="28"/>
                <w:szCs w:val="28"/>
              </w:rPr>
              <w:t>发行股份购买其持有的招商物业</w:t>
            </w:r>
            <w:r>
              <w:rPr>
                <w:rFonts w:ascii="仿宋_GB2312" w:eastAsia="仿宋_GB2312" w:hAnsi="Times New Roman" w:hint="eastAsia"/>
                <w:sz w:val="28"/>
                <w:szCs w:val="28"/>
              </w:rPr>
              <w:t>100%</w:t>
            </w:r>
            <w:r>
              <w:rPr>
                <w:rFonts w:ascii="仿宋_GB2312" w:eastAsia="仿宋_GB2312" w:hAnsi="Times New Roman" w:hint="eastAsia"/>
                <w:sz w:val="28"/>
                <w:szCs w:val="28"/>
              </w:rPr>
              <w:t>股权，发行价格为</w:t>
            </w:r>
            <w:r>
              <w:rPr>
                <w:rFonts w:ascii="仿宋_GB2312" w:eastAsia="仿宋_GB2312" w:hAnsi="Times New Roman" w:hint="eastAsia"/>
                <w:sz w:val="28"/>
                <w:szCs w:val="28"/>
              </w:rPr>
              <w:t>7.</w:t>
            </w:r>
            <w:r>
              <w:rPr>
                <w:rFonts w:ascii="仿宋_GB2312" w:eastAsia="仿宋_GB2312" w:hAnsi="Times New Roman" w:hint="eastAsia"/>
                <w:sz w:val="28"/>
                <w:szCs w:val="28"/>
              </w:rPr>
              <w:t>6</w:t>
            </w:r>
            <w:r>
              <w:rPr>
                <w:rFonts w:ascii="仿宋_GB2312" w:eastAsia="仿宋_GB2312" w:hAnsi="Times New Roman" w:hint="eastAsia"/>
                <w:sz w:val="28"/>
                <w:szCs w:val="28"/>
              </w:rPr>
              <w:t>0</w:t>
            </w:r>
            <w:r>
              <w:rPr>
                <w:rFonts w:ascii="仿宋_GB2312" w:eastAsia="仿宋_GB2312" w:hAnsi="Times New Roman" w:hint="eastAsia"/>
                <w:sz w:val="28"/>
                <w:szCs w:val="28"/>
              </w:rPr>
              <w:t>元人民币</w:t>
            </w:r>
            <w:r>
              <w:rPr>
                <w:rFonts w:ascii="仿宋_GB2312" w:eastAsia="仿宋_GB2312" w:hAnsi="Times New Roman" w:hint="eastAsia"/>
                <w:sz w:val="28"/>
                <w:szCs w:val="28"/>
              </w:rPr>
              <w:t>/</w:t>
            </w:r>
            <w:r>
              <w:rPr>
                <w:rFonts w:ascii="仿宋_GB2312" w:eastAsia="仿宋_GB2312" w:hAnsi="Times New Roman" w:hint="eastAsia"/>
                <w:sz w:val="28"/>
                <w:szCs w:val="28"/>
              </w:rPr>
              <w:t>股。招商蛇口将成为中航善达的控股股东。</w:t>
            </w:r>
          </w:p>
        </w:tc>
      </w:tr>
      <w:tr w:rsidR="00CD1511">
        <w:trPr>
          <w:trHeight w:val="468"/>
        </w:trPr>
        <w:tc>
          <w:tcPr>
            <w:tcW w:w="1242" w:type="dxa"/>
            <w:vMerge w:val="restart"/>
          </w:tcPr>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参与集中的经营者简介</w:t>
            </w:r>
          </w:p>
        </w:tc>
        <w:tc>
          <w:tcPr>
            <w:tcW w:w="2835" w:type="dxa"/>
          </w:tcPr>
          <w:p w:rsidR="00CD1511" w:rsidRDefault="00B834D2">
            <w:pPr>
              <w:pStyle w:val="ab"/>
              <w:spacing w:line="500" w:lineRule="exact"/>
              <w:ind w:firstLineChars="0" w:firstLine="0"/>
              <w:rPr>
                <w:rFonts w:ascii="仿宋_GB2312" w:eastAsia="仿宋_GB2312" w:hAnsi="Times New Roman"/>
                <w:iCs w:val="0"/>
                <w:kern w:val="2"/>
                <w:sz w:val="28"/>
                <w:szCs w:val="28"/>
              </w:rPr>
            </w:pPr>
            <w:r>
              <w:rPr>
                <w:rFonts w:ascii="仿宋_GB2312" w:eastAsia="仿宋_GB2312" w:hAnsi="Times New Roman" w:hint="eastAsia"/>
                <w:iCs w:val="0"/>
                <w:kern w:val="2"/>
                <w:sz w:val="28"/>
                <w:szCs w:val="28"/>
              </w:rPr>
              <w:t>招商局蛇口工业区控股股份有限公司</w:t>
            </w:r>
          </w:p>
        </w:tc>
        <w:tc>
          <w:tcPr>
            <w:tcW w:w="4681" w:type="dxa"/>
          </w:tcPr>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招商局蛇口工业区控股股份有限公司成立于</w:t>
            </w:r>
            <w:r>
              <w:rPr>
                <w:rFonts w:ascii="仿宋_GB2312" w:eastAsia="仿宋_GB2312" w:hAnsi="Times New Roman" w:hint="eastAsia"/>
                <w:sz w:val="28"/>
                <w:szCs w:val="28"/>
              </w:rPr>
              <w:t>1992</w:t>
            </w:r>
            <w:r>
              <w:rPr>
                <w:rFonts w:ascii="仿宋_GB2312" w:eastAsia="仿宋_GB2312" w:hAnsi="Times New Roman" w:hint="eastAsia"/>
                <w:sz w:val="28"/>
                <w:szCs w:val="28"/>
              </w:rPr>
              <w:t>年，</w:t>
            </w:r>
            <w:r>
              <w:rPr>
                <w:rFonts w:ascii="仿宋_GB2312" w:eastAsia="仿宋_GB2312" w:hAnsi="Times New Roman" w:hint="eastAsia"/>
                <w:sz w:val="28"/>
                <w:szCs w:val="28"/>
              </w:rPr>
              <w:t>2015</w:t>
            </w:r>
            <w:r>
              <w:rPr>
                <w:rFonts w:ascii="仿宋_GB2312" w:eastAsia="仿宋_GB2312" w:hAnsi="Times New Roman" w:hint="eastAsia"/>
                <w:sz w:val="28"/>
                <w:szCs w:val="28"/>
              </w:rPr>
              <w:t>年</w:t>
            </w:r>
            <w:r>
              <w:rPr>
                <w:rFonts w:ascii="仿宋_GB2312" w:eastAsia="仿宋_GB2312" w:hAnsi="Times New Roman" w:hint="eastAsia"/>
                <w:sz w:val="28"/>
                <w:szCs w:val="28"/>
              </w:rPr>
              <w:t>12</w:t>
            </w:r>
            <w:r>
              <w:rPr>
                <w:rFonts w:ascii="仿宋_GB2312" w:eastAsia="仿宋_GB2312" w:hAnsi="Times New Roman" w:hint="eastAsia"/>
                <w:sz w:val="28"/>
                <w:szCs w:val="28"/>
              </w:rPr>
              <w:t>月起在深圳证券交易所上市，证券代码</w:t>
            </w:r>
            <w:r>
              <w:rPr>
                <w:rFonts w:ascii="仿宋_GB2312" w:eastAsia="仿宋_GB2312" w:hAnsi="Times New Roman" w:hint="eastAsia"/>
                <w:sz w:val="28"/>
                <w:szCs w:val="28"/>
              </w:rPr>
              <w:t>001979</w:t>
            </w:r>
            <w:r>
              <w:rPr>
                <w:rFonts w:ascii="仿宋_GB2312" w:eastAsia="仿宋_GB2312" w:hAnsi="Times New Roman" w:hint="eastAsia"/>
                <w:sz w:val="28"/>
                <w:szCs w:val="28"/>
              </w:rPr>
              <w:t>。公司主要从事房地产开发和园区物业管理业务。</w:t>
            </w:r>
          </w:p>
        </w:tc>
      </w:tr>
      <w:tr w:rsidR="00CD1511">
        <w:trPr>
          <w:trHeight w:val="2119"/>
        </w:trPr>
        <w:tc>
          <w:tcPr>
            <w:tcW w:w="1242" w:type="dxa"/>
            <w:vMerge/>
            <w:tcBorders>
              <w:top w:val="nil"/>
            </w:tcBorders>
          </w:tcPr>
          <w:p w:rsidR="00CD1511" w:rsidRDefault="00CD1511">
            <w:pPr>
              <w:spacing w:line="500" w:lineRule="exact"/>
              <w:rPr>
                <w:rFonts w:ascii="仿宋_GB2312" w:eastAsia="仿宋_GB2312" w:hAnsi="Times New Roman"/>
                <w:sz w:val="28"/>
                <w:szCs w:val="28"/>
              </w:rPr>
            </w:pPr>
          </w:p>
        </w:tc>
        <w:tc>
          <w:tcPr>
            <w:tcW w:w="2835" w:type="dxa"/>
          </w:tcPr>
          <w:p w:rsidR="00CD1511" w:rsidRDefault="00B834D2">
            <w:pPr>
              <w:pStyle w:val="ab"/>
              <w:spacing w:line="500" w:lineRule="exact"/>
              <w:ind w:firstLineChars="0" w:firstLine="0"/>
              <w:rPr>
                <w:rFonts w:ascii="仿宋_GB2312" w:eastAsia="仿宋_GB2312" w:hAnsi="Times New Roman"/>
                <w:iCs w:val="0"/>
                <w:kern w:val="2"/>
                <w:sz w:val="28"/>
                <w:szCs w:val="28"/>
              </w:rPr>
            </w:pPr>
            <w:r>
              <w:rPr>
                <w:rFonts w:ascii="仿宋_GB2312" w:eastAsia="仿宋_GB2312" w:hAnsi="Times New Roman" w:hint="eastAsia"/>
                <w:iCs w:val="0"/>
                <w:kern w:val="2"/>
                <w:sz w:val="28"/>
                <w:szCs w:val="28"/>
              </w:rPr>
              <w:t>中航善达股份有限公司</w:t>
            </w:r>
          </w:p>
        </w:tc>
        <w:tc>
          <w:tcPr>
            <w:tcW w:w="4681" w:type="dxa"/>
          </w:tcPr>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中航善达股份有限公司成立于</w:t>
            </w:r>
            <w:r>
              <w:rPr>
                <w:rFonts w:ascii="仿宋_GB2312" w:eastAsia="仿宋_GB2312" w:hAnsi="Times New Roman" w:hint="eastAsia"/>
                <w:sz w:val="28"/>
                <w:szCs w:val="28"/>
              </w:rPr>
              <w:t>1985</w:t>
            </w:r>
            <w:r>
              <w:rPr>
                <w:rFonts w:ascii="仿宋_GB2312" w:eastAsia="仿宋_GB2312" w:hAnsi="Times New Roman" w:hint="eastAsia"/>
                <w:sz w:val="28"/>
                <w:szCs w:val="28"/>
              </w:rPr>
              <w:t>年，</w:t>
            </w:r>
            <w:r>
              <w:rPr>
                <w:rFonts w:ascii="仿宋_GB2312" w:eastAsia="仿宋_GB2312" w:hAnsi="Times New Roman" w:hint="eastAsia"/>
                <w:sz w:val="28"/>
                <w:szCs w:val="28"/>
              </w:rPr>
              <w:t>1994</w:t>
            </w:r>
            <w:r>
              <w:rPr>
                <w:rFonts w:ascii="仿宋_GB2312" w:eastAsia="仿宋_GB2312" w:hAnsi="Times New Roman" w:hint="eastAsia"/>
                <w:sz w:val="28"/>
                <w:szCs w:val="28"/>
              </w:rPr>
              <w:t>年起在深圳证券交易所上市，证券代码</w:t>
            </w:r>
            <w:r>
              <w:rPr>
                <w:rFonts w:ascii="仿宋_GB2312" w:eastAsia="仿宋_GB2312" w:hAnsi="Times New Roman" w:hint="eastAsia"/>
                <w:sz w:val="28"/>
                <w:szCs w:val="28"/>
              </w:rPr>
              <w:t>000043</w:t>
            </w:r>
            <w:r>
              <w:rPr>
                <w:rFonts w:ascii="仿宋_GB2312" w:eastAsia="仿宋_GB2312" w:hAnsi="Times New Roman" w:hint="eastAsia"/>
                <w:sz w:val="28"/>
                <w:szCs w:val="28"/>
              </w:rPr>
              <w:t>。公司主要从事物业管理、房地产开发业务。</w:t>
            </w:r>
          </w:p>
        </w:tc>
      </w:tr>
      <w:tr w:rsidR="00CD1511">
        <w:trPr>
          <w:trHeight w:val="279"/>
        </w:trPr>
        <w:tc>
          <w:tcPr>
            <w:tcW w:w="1242" w:type="dxa"/>
            <w:vMerge w:val="restart"/>
          </w:tcPr>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简易案件理由（可以</w:t>
            </w:r>
            <w:r>
              <w:rPr>
                <w:rFonts w:ascii="仿宋_GB2312" w:eastAsia="仿宋_GB2312" w:hAnsi="Times New Roman" w:hint="eastAsia"/>
                <w:sz w:val="28"/>
                <w:szCs w:val="28"/>
              </w:rPr>
              <w:lastRenderedPageBreak/>
              <w:t>单选，也可以多选）</w:t>
            </w:r>
          </w:p>
        </w:tc>
        <w:tc>
          <w:tcPr>
            <w:tcW w:w="7516" w:type="dxa"/>
            <w:gridSpan w:val="2"/>
          </w:tcPr>
          <w:p w:rsidR="00CD1511" w:rsidRDefault="00B834D2">
            <w:pPr>
              <w:spacing w:line="500" w:lineRule="exact"/>
              <w:rPr>
                <w:rFonts w:ascii="仿宋_GB2312" w:eastAsia="仿宋_GB2312" w:hAnsi="Times New Roman"/>
                <w:sz w:val="28"/>
                <w:szCs w:val="28"/>
              </w:rPr>
            </w:pPr>
            <w:r>
              <w:rPr>
                <w:rFonts w:ascii="黑体" w:eastAsia="黑体" w:hint="eastAsia"/>
                <w:szCs w:val="21"/>
              </w:rPr>
              <w:lastRenderedPageBreak/>
              <w:sym w:font="Wingdings" w:char="F0FE"/>
            </w:r>
            <w:r>
              <w:rPr>
                <w:rFonts w:ascii="仿宋_GB2312" w:eastAsia="仿宋_GB2312" w:hAnsi="Times New Roman" w:hint="eastAsia"/>
                <w:sz w:val="28"/>
                <w:szCs w:val="28"/>
              </w:rPr>
              <w:t>1</w:t>
            </w:r>
            <w:r>
              <w:rPr>
                <w:rFonts w:ascii="仿宋_GB2312" w:eastAsia="仿宋_GB2312" w:hAnsi="Times New Roman" w:hint="eastAsia"/>
                <w:sz w:val="28"/>
                <w:szCs w:val="28"/>
              </w:rPr>
              <w:t>、在同一相关市场，所有参与集中的经营者所占市场份额之和小于</w:t>
            </w:r>
            <w:r>
              <w:rPr>
                <w:rFonts w:ascii="仿宋_GB2312" w:eastAsia="仿宋_GB2312" w:hAnsi="Times New Roman" w:hint="eastAsia"/>
                <w:sz w:val="28"/>
                <w:szCs w:val="28"/>
              </w:rPr>
              <w:t>15%</w:t>
            </w:r>
            <w:r>
              <w:rPr>
                <w:rFonts w:ascii="仿宋_GB2312" w:eastAsia="仿宋_GB2312" w:hAnsi="Times New Roman" w:hint="eastAsia"/>
                <w:sz w:val="28"/>
                <w:szCs w:val="28"/>
              </w:rPr>
              <w:t>。</w:t>
            </w:r>
          </w:p>
        </w:tc>
      </w:tr>
      <w:tr w:rsidR="00CD1511">
        <w:trPr>
          <w:trHeight w:val="330"/>
        </w:trPr>
        <w:tc>
          <w:tcPr>
            <w:tcW w:w="1242" w:type="dxa"/>
            <w:vMerge/>
          </w:tcPr>
          <w:p w:rsidR="00CD1511" w:rsidRDefault="00CD1511">
            <w:pPr>
              <w:spacing w:line="500" w:lineRule="exact"/>
              <w:rPr>
                <w:rFonts w:ascii="仿宋_GB2312" w:eastAsia="仿宋_GB2312" w:hAnsi="Times New Roman"/>
                <w:sz w:val="28"/>
                <w:szCs w:val="28"/>
              </w:rPr>
            </w:pPr>
          </w:p>
        </w:tc>
        <w:tc>
          <w:tcPr>
            <w:tcW w:w="7516" w:type="dxa"/>
            <w:gridSpan w:val="2"/>
          </w:tcPr>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sym w:font="Wingdings 2" w:char="0052"/>
            </w:r>
            <w:r>
              <w:rPr>
                <w:rFonts w:ascii="仿宋_GB2312" w:eastAsia="仿宋_GB2312" w:hAnsi="Times New Roman" w:hint="eastAsia"/>
                <w:sz w:val="28"/>
                <w:szCs w:val="28"/>
              </w:rPr>
              <w:t>2</w:t>
            </w:r>
            <w:r>
              <w:rPr>
                <w:rFonts w:ascii="仿宋_GB2312" w:eastAsia="仿宋_GB2312" w:hAnsi="Times New Roman" w:hint="eastAsia"/>
                <w:sz w:val="28"/>
                <w:szCs w:val="28"/>
              </w:rPr>
              <w:t>、存在上下游关系的参与集中的经营者，在上下游市场所</w:t>
            </w:r>
            <w:r>
              <w:rPr>
                <w:rFonts w:ascii="仿宋_GB2312" w:eastAsia="仿宋_GB2312" w:hAnsi="Times New Roman" w:hint="eastAsia"/>
                <w:sz w:val="28"/>
                <w:szCs w:val="28"/>
              </w:rPr>
              <w:lastRenderedPageBreak/>
              <w:t>占的市场份额均小于</w:t>
            </w:r>
            <w:r>
              <w:rPr>
                <w:rFonts w:ascii="仿宋_GB2312" w:eastAsia="仿宋_GB2312" w:hAnsi="Times New Roman" w:hint="eastAsia"/>
                <w:sz w:val="28"/>
                <w:szCs w:val="28"/>
              </w:rPr>
              <w:t>25%</w:t>
            </w:r>
            <w:r>
              <w:rPr>
                <w:rFonts w:ascii="仿宋_GB2312" w:eastAsia="仿宋_GB2312" w:hAnsi="Times New Roman" w:hint="eastAsia"/>
                <w:sz w:val="28"/>
                <w:szCs w:val="28"/>
              </w:rPr>
              <w:t>。</w:t>
            </w:r>
          </w:p>
        </w:tc>
      </w:tr>
      <w:tr w:rsidR="00CD1511">
        <w:trPr>
          <w:trHeight w:val="285"/>
        </w:trPr>
        <w:tc>
          <w:tcPr>
            <w:tcW w:w="1242" w:type="dxa"/>
            <w:vMerge/>
          </w:tcPr>
          <w:p w:rsidR="00CD1511" w:rsidRDefault="00CD1511">
            <w:pPr>
              <w:spacing w:line="500" w:lineRule="exact"/>
              <w:rPr>
                <w:rFonts w:ascii="仿宋_GB2312" w:eastAsia="仿宋_GB2312" w:hAnsi="Times New Roman"/>
                <w:sz w:val="28"/>
                <w:szCs w:val="28"/>
              </w:rPr>
            </w:pPr>
          </w:p>
        </w:tc>
        <w:tc>
          <w:tcPr>
            <w:tcW w:w="7516" w:type="dxa"/>
            <w:gridSpan w:val="2"/>
          </w:tcPr>
          <w:p w:rsidR="00CD1511" w:rsidRDefault="008B4FB2">
            <w:pPr>
              <w:spacing w:line="500" w:lineRule="exact"/>
              <w:rPr>
                <w:rFonts w:ascii="仿宋_GB2312" w:eastAsia="仿宋_GB2312" w:hAnsi="Times New Roman"/>
                <w:sz w:val="28"/>
                <w:szCs w:val="28"/>
              </w:rPr>
            </w:pPr>
            <w:r>
              <w:rPr>
                <w:rFonts w:ascii="仿宋_GB2312" w:eastAsia="仿宋_GB2312" w:hAnsi="Times New Roman" w:hint="eastAsia"/>
                <w:sz w:val="28"/>
                <w:szCs w:val="28"/>
              </w:rPr>
              <w:t>□</w:t>
            </w:r>
            <w:r w:rsidR="00B834D2">
              <w:rPr>
                <w:rFonts w:ascii="仿宋_GB2312" w:eastAsia="仿宋_GB2312" w:hAnsi="Times New Roman" w:hint="eastAsia"/>
                <w:sz w:val="28"/>
                <w:szCs w:val="28"/>
              </w:rPr>
              <w:t>3</w:t>
            </w:r>
            <w:r w:rsidR="00B834D2">
              <w:rPr>
                <w:rFonts w:ascii="仿宋_GB2312" w:eastAsia="仿宋_GB2312" w:hAnsi="Times New Roman" w:hint="eastAsia"/>
                <w:sz w:val="28"/>
                <w:szCs w:val="28"/>
              </w:rPr>
              <w:t>、不在同一相关市场、也不存在上下游关系的参与集中的经营者，在与交易有关的每个市场所占的份额均小于</w:t>
            </w:r>
            <w:r w:rsidR="00B834D2">
              <w:rPr>
                <w:rFonts w:ascii="仿宋_GB2312" w:eastAsia="仿宋_GB2312" w:hAnsi="Times New Roman" w:hint="eastAsia"/>
                <w:sz w:val="28"/>
                <w:szCs w:val="28"/>
              </w:rPr>
              <w:t>25%</w:t>
            </w:r>
            <w:r w:rsidR="00B834D2">
              <w:rPr>
                <w:rFonts w:ascii="仿宋_GB2312" w:eastAsia="仿宋_GB2312" w:hAnsi="Times New Roman" w:hint="eastAsia"/>
                <w:sz w:val="28"/>
                <w:szCs w:val="28"/>
              </w:rPr>
              <w:t>。</w:t>
            </w:r>
          </w:p>
        </w:tc>
      </w:tr>
      <w:tr w:rsidR="00CD1511">
        <w:trPr>
          <w:trHeight w:val="870"/>
        </w:trPr>
        <w:tc>
          <w:tcPr>
            <w:tcW w:w="1242" w:type="dxa"/>
            <w:vMerge/>
          </w:tcPr>
          <w:p w:rsidR="00CD1511" w:rsidRDefault="00CD1511">
            <w:pPr>
              <w:spacing w:line="500" w:lineRule="exact"/>
              <w:rPr>
                <w:rFonts w:ascii="仿宋_GB2312" w:eastAsia="仿宋_GB2312" w:hAnsi="Times New Roman"/>
                <w:sz w:val="28"/>
                <w:szCs w:val="28"/>
              </w:rPr>
            </w:pPr>
          </w:p>
        </w:tc>
        <w:tc>
          <w:tcPr>
            <w:tcW w:w="7516" w:type="dxa"/>
            <w:gridSpan w:val="2"/>
          </w:tcPr>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w:t>
            </w:r>
            <w:r>
              <w:rPr>
                <w:rFonts w:ascii="仿宋_GB2312" w:eastAsia="仿宋_GB2312" w:hAnsi="Times New Roman" w:hint="eastAsia"/>
                <w:sz w:val="28"/>
                <w:szCs w:val="28"/>
              </w:rPr>
              <w:t>4</w:t>
            </w:r>
            <w:r>
              <w:rPr>
                <w:rFonts w:ascii="仿宋_GB2312" w:eastAsia="仿宋_GB2312" w:hAnsi="Times New Roman" w:hint="eastAsia"/>
                <w:sz w:val="28"/>
                <w:szCs w:val="28"/>
              </w:rPr>
              <w:t>、参与集中的经营者在中国境外设立合营企业，合营企业不在中国境内从事经济活动。</w:t>
            </w:r>
          </w:p>
        </w:tc>
      </w:tr>
      <w:tr w:rsidR="00CD1511">
        <w:trPr>
          <w:trHeight w:val="264"/>
        </w:trPr>
        <w:tc>
          <w:tcPr>
            <w:tcW w:w="1242" w:type="dxa"/>
            <w:vMerge/>
          </w:tcPr>
          <w:p w:rsidR="00CD1511" w:rsidRDefault="00CD1511">
            <w:pPr>
              <w:spacing w:line="500" w:lineRule="exact"/>
              <w:rPr>
                <w:rFonts w:ascii="仿宋_GB2312" w:eastAsia="仿宋_GB2312" w:hAnsi="Times New Roman"/>
                <w:sz w:val="28"/>
                <w:szCs w:val="28"/>
              </w:rPr>
            </w:pPr>
          </w:p>
        </w:tc>
        <w:tc>
          <w:tcPr>
            <w:tcW w:w="7516" w:type="dxa"/>
            <w:gridSpan w:val="2"/>
          </w:tcPr>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w:t>
            </w:r>
            <w:r>
              <w:rPr>
                <w:rFonts w:ascii="仿宋_GB2312" w:eastAsia="仿宋_GB2312" w:hAnsi="Times New Roman" w:hint="eastAsia"/>
                <w:sz w:val="28"/>
                <w:szCs w:val="28"/>
              </w:rPr>
              <w:t>5</w:t>
            </w:r>
            <w:r>
              <w:rPr>
                <w:rFonts w:ascii="仿宋_GB2312" w:eastAsia="仿宋_GB2312" w:hAnsi="Times New Roman" w:hint="eastAsia"/>
                <w:sz w:val="28"/>
                <w:szCs w:val="28"/>
              </w:rPr>
              <w:t>、参与集中的经营者收购境外企业股权或资产的，该境外企业不在中国境内从事经济活动。</w:t>
            </w:r>
          </w:p>
        </w:tc>
      </w:tr>
      <w:tr w:rsidR="00CD1511">
        <w:trPr>
          <w:trHeight w:val="345"/>
        </w:trPr>
        <w:tc>
          <w:tcPr>
            <w:tcW w:w="1242" w:type="dxa"/>
            <w:vMerge/>
          </w:tcPr>
          <w:p w:rsidR="00CD1511" w:rsidRDefault="00CD1511">
            <w:pPr>
              <w:spacing w:line="500" w:lineRule="exact"/>
              <w:rPr>
                <w:rFonts w:ascii="仿宋_GB2312" w:eastAsia="仿宋_GB2312" w:hAnsi="Times New Roman"/>
                <w:sz w:val="28"/>
                <w:szCs w:val="28"/>
              </w:rPr>
            </w:pPr>
          </w:p>
        </w:tc>
        <w:tc>
          <w:tcPr>
            <w:tcW w:w="7516" w:type="dxa"/>
            <w:gridSpan w:val="2"/>
          </w:tcPr>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w:t>
            </w:r>
            <w:r>
              <w:rPr>
                <w:rFonts w:ascii="仿宋_GB2312" w:eastAsia="仿宋_GB2312" w:hAnsi="Times New Roman" w:hint="eastAsia"/>
                <w:sz w:val="28"/>
                <w:szCs w:val="28"/>
              </w:rPr>
              <w:t>6</w:t>
            </w:r>
            <w:r>
              <w:rPr>
                <w:rFonts w:ascii="仿宋_GB2312" w:eastAsia="仿宋_GB2312" w:hAnsi="Times New Roman" w:hint="eastAsia"/>
                <w:sz w:val="28"/>
                <w:szCs w:val="28"/>
              </w:rPr>
              <w:t>、由两个以上的经营者共同控制的合营企业，通过集中被其中一个或一个以上经营者控制。</w:t>
            </w:r>
          </w:p>
        </w:tc>
      </w:tr>
      <w:tr w:rsidR="00CD1511">
        <w:tc>
          <w:tcPr>
            <w:tcW w:w="1242" w:type="dxa"/>
          </w:tcPr>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备注</w:t>
            </w:r>
          </w:p>
        </w:tc>
        <w:tc>
          <w:tcPr>
            <w:tcW w:w="7516" w:type="dxa"/>
            <w:gridSpan w:val="2"/>
          </w:tcPr>
          <w:p w:rsidR="00CD1511" w:rsidRDefault="008B4FB2">
            <w:pPr>
              <w:spacing w:line="500" w:lineRule="exact"/>
              <w:rPr>
                <w:rFonts w:ascii="仿宋_GB2312" w:eastAsia="仿宋_GB2312" w:hAnsi="Times New Roman"/>
                <w:sz w:val="28"/>
                <w:szCs w:val="28"/>
              </w:rPr>
            </w:pPr>
            <w:r>
              <w:rPr>
                <w:rFonts w:ascii="仿宋_GB2312" w:eastAsia="仿宋_GB2312" w:hAnsi="Times New Roman" w:hint="eastAsia"/>
                <w:sz w:val="28"/>
                <w:szCs w:val="28"/>
              </w:rPr>
              <w:t>相关商</w:t>
            </w:r>
            <w:r w:rsidR="00B834D2">
              <w:rPr>
                <w:rFonts w:ascii="仿宋_GB2312" w:eastAsia="仿宋_GB2312" w:hAnsi="Times New Roman" w:hint="eastAsia"/>
                <w:sz w:val="28"/>
                <w:szCs w:val="28"/>
              </w:rPr>
              <w:t>品市场：商品住</w:t>
            </w:r>
            <w:r>
              <w:rPr>
                <w:rFonts w:ascii="仿宋_GB2312" w:eastAsia="仿宋_GB2312" w:hAnsi="Times New Roman" w:hint="eastAsia"/>
                <w:sz w:val="28"/>
                <w:szCs w:val="28"/>
              </w:rPr>
              <w:t>宅</w:t>
            </w:r>
            <w:r w:rsidR="00B834D2">
              <w:rPr>
                <w:rFonts w:ascii="仿宋_GB2312" w:eastAsia="仿宋_GB2312" w:hAnsi="Times New Roman" w:hint="eastAsia"/>
                <w:sz w:val="28"/>
                <w:szCs w:val="28"/>
              </w:rPr>
              <w:t>开发</w:t>
            </w:r>
          </w:p>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相关地域市场：</w:t>
            </w:r>
            <w:r>
              <w:rPr>
                <w:rFonts w:ascii="仿宋_GB2312" w:eastAsia="仿宋_GB2312" w:hAnsi="Times New Roman" w:hint="eastAsia"/>
                <w:sz w:val="28"/>
                <w:szCs w:val="28"/>
              </w:rPr>
              <w:t>中国境内主要城市</w:t>
            </w:r>
          </w:p>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招商蛇口：</w:t>
            </w:r>
            <w:r>
              <w:rPr>
                <w:rFonts w:ascii="仿宋_GB2312" w:eastAsia="仿宋_GB2312" w:hAnsi="Times New Roman" w:hint="eastAsia"/>
                <w:sz w:val="28"/>
                <w:szCs w:val="28"/>
              </w:rPr>
              <w:t>市场份额</w:t>
            </w:r>
            <w:r>
              <w:rPr>
                <w:rFonts w:ascii="仿宋_GB2312" w:eastAsia="仿宋_GB2312" w:hAnsi="Times New Roman" w:hint="eastAsia"/>
                <w:sz w:val="28"/>
                <w:szCs w:val="28"/>
              </w:rPr>
              <w:t>小于</w:t>
            </w:r>
            <w:r w:rsidR="008B4FB2">
              <w:rPr>
                <w:rFonts w:ascii="仿宋_GB2312" w:eastAsia="仿宋_GB2312" w:hAnsi="Times New Roman" w:hint="eastAsia"/>
                <w:sz w:val="28"/>
                <w:szCs w:val="28"/>
              </w:rPr>
              <w:t>10</w:t>
            </w:r>
            <w:r>
              <w:rPr>
                <w:rFonts w:ascii="仿宋_GB2312" w:eastAsia="仿宋_GB2312" w:hAnsi="Times New Roman" w:hint="eastAsia"/>
                <w:sz w:val="28"/>
                <w:szCs w:val="28"/>
              </w:rPr>
              <w:t>%</w:t>
            </w:r>
            <w:r>
              <w:rPr>
                <w:rFonts w:ascii="仿宋_GB2312" w:eastAsia="仿宋_GB2312" w:hAnsi="Times New Roman" w:hint="eastAsia"/>
                <w:sz w:val="28"/>
                <w:szCs w:val="28"/>
              </w:rPr>
              <w:t>；</w:t>
            </w:r>
          </w:p>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中航善达：市场份额</w:t>
            </w:r>
            <w:bookmarkStart w:id="0" w:name="_GoBack"/>
            <w:bookmarkEnd w:id="0"/>
            <w:r>
              <w:rPr>
                <w:rFonts w:ascii="仿宋_GB2312" w:eastAsia="仿宋_GB2312" w:hAnsi="Times New Roman" w:hint="eastAsia"/>
                <w:sz w:val="28"/>
                <w:szCs w:val="28"/>
              </w:rPr>
              <w:t>小</w:t>
            </w:r>
            <w:r>
              <w:rPr>
                <w:rFonts w:ascii="仿宋_GB2312" w:eastAsia="仿宋_GB2312" w:hAnsi="Times New Roman" w:hint="eastAsia"/>
                <w:sz w:val="28"/>
                <w:szCs w:val="28"/>
              </w:rPr>
              <w:t>于</w:t>
            </w:r>
            <w:r>
              <w:rPr>
                <w:rFonts w:ascii="仿宋_GB2312" w:eastAsia="仿宋_GB2312" w:hAnsi="Times New Roman" w:hint="eastAsia"/>
                <w:sz w:val="28"/>
                <w:szCs w:val="28"/>
              </w:rPr>
              <w:t>1</w:t>
            </w:r>
            <w:r w:rsidR="008B4FB2">
              <w:rPr>
                <w:rFonts w:ascii="仿宋_GB2312" w:eastAsia="仿宋_GB2312" w:hAnsi="Times New Roman" w:hint="eastAsia"/>
                <w:sz w:val="28"/>
                <w:szCs w:val="28"/>
              </w:rPr>
              <w:t>0</w:t>
            </w:r>
            <w:r>
              <w:rPr>
                <w:rFonts w:ascii="仿宋_GB2312" w:eastAsia="仿宋_GB2312" w:hAnsi="Times New Roman" w:hint="eastAsia"/>
                <w:sz w:val="28"/>
                <w:szCs w:val="28"/>
              </w:rPr>
              <w:t>%</w:t>
            </w:r>
            <w:r>
              <w:rPr>
                <w:rFonts w:ascii="仿宋_GB2312" w:eastAsia="仿宋_GB2312" w:hAnsi="Times New Roman" w:hint="eastAsia"/>
                <w:sz w:val="28"/>
                <w:szCs w:val="28"/>
              </w:rPr>
              <w:t>。</w:t>
            </w:r>
          </w:p>
          <w:p w:rsidR="00CD1511" w:rsidRDefault="00CD1511">
            <w:pPr>
              <w:spacing w:line="500" w:lineRule="exact"/>
              <w:rPr>
                <w:rFonts w:ascii="仿宋_GB2312" w:eastAsia="仿宋_GB2312" w:hAnsi="Times New Roman"/>
                <w:sz w:val="28"/>
                <w:szCs w:val="28"/>
              </w:rPr>
            </w:pPr>
          </w:p>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相关</w:t>
            </w:r>
            <w:r w:rsidR="008B4FB2">
              <w:rPr>
                <w:rFonts w:ascii="仿宋_GB2312" w:eastAsia="仿宋_GB2312" w:hAnsi="Times New Roman" w:hint="eastAsia"/>
                <w:sz w:val="28"/>
                <w:szCs w:val="28"/>
              </w:rPr>
              <w:t>商</w:t>
            </w:r>
            <w:r>
              <w:rPr>
                <w:rFonts w:ascii="仿宋_GB2312" w:eastAsia="仿宋_GB2312" w:hAnsi="Times New Roman" w:hint="eastAsia"/>
                <w:sz w:val="28"/>
                <w:szCs w:val="28"/>
              </w:rPr>
              <w:t>品市场：</w:t>
            </w:r>
            <w:r w:rsidR="008B4FB2">
              <w:rPr>
                <w:rFonts w:ascii="仿宋_GB2312" w:eastAsia="仿宋_GB2312" w:hAnsi="Times New Roman" w:hint="eastAsia"/>
                <w:sz w:val="28"/>
                <w:szCs w:val="28"/>
              </w:rPr>
              <w:t>住宅</w:t>
            </w:r>
            <w:r>
              <w:rPr>
                <w:rFonts w:ascii="仿宋_GB2312" w:eastAsia="仿宋_GB2312" w:hAnsi="Times New Roman" w:hint="eastAsia"/>
                <w:sz w:val="28"/>
                <w:szCs w:val="28"/>
              </w:rPr>
              <w:t>物业管理</w:t>
            </w:r>
            <w:r w:rsidR="008B4FB2">
              <w:rPr>
                <w:rFonts w:ascii="仿宋_GB2312" w:eastAsia="仿宋_GB2312" w:hAnsi="Times New Roman" w:hint="eastAsia"/>
                <w:sz w:val="28"/>
                <w:szCs w:val="28"/>
              </w:rPr>
              <w:t>服务</w:t>
            </w:r>
          </w:p>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相关地域市场：</w:t>
            </w:r>
            <w:r>
              <w:rPr>
                <w:rFonts w:ascii="仿宋_GB2312" w:eastAsia="仿宋_GB2312" w:hAnsi="Times New Roman" w:hint="eastAsia"/>
                <w:sz w:val="28"/>
                <w:szCs w:val="28"/>
              </w:rPr>
              <w:t>中国境内主要城市</w:t>
            </w:r>
          </w:p>
          <w:p w:rsidR="00CD1511" w:rsidRDefault="00B834D2">
            <w:pPr>
              <w:spacing w:line="500" w:lineRule="exact"/>
              <w:rPr>
                <w:rFonts w:ascii="仿宋_GB2312" w:eastAsia="仿宋_GB2312" w:hAnsi="Times New Roman"/>
                <w:sz w:val="28"/>
                <w:szCs w:val="28"/>
              </w:rPr>
            </w:pPr>
            <w:r>
              <w:rPr>
                <w:rFonts w:ascii="仿宋_GB2312" w:eastAsia="仿宋_GB2312" w:hAnsi="Times New Roman" w:hint="eastAsia"/>
                <w:sz w:val="28"/>
                <w:szCs w:val="28"/>
              </w:rPr>
              <w:t>招商蛇口</w:t>
            </w:r>
            <w:r w:rsidR="008B4FB2">
              <w:rPr>
                <w:rFonts w:ascii="仿宋_GB2312" w:eastAsia="仿宋_GB2312" w:hAnsi="Times New Roman" w:hint="eastAsia"/>
                <w:sz w:val="28"/>
                <w:szCs w:val="28"/>
              </w:rPr>
              <w:t>与</w:t>
            </w:r>
            <w:r w:rsidR="008B4FB2">
              <w:rPr>
                <w:rFonts w:ascii="仿宋_GB2312" w:eastAsia="仿宋_GB2312" w:hAnsi="Times New Roman" w:hint="eastAsia"/>
                <w:sz w:val="28"/>
                <w:szCs w:val="28"/>
              </w:rPr>
              <w:t>中航善达：</w:t>
            </w:r>
            <w:r w:rsidR="008B4FB2">
              <w:rPr>
                <w:rFonts w:ascii="仿宋_GB2312" w:eastAsia="仿宋_GB2312" w:hAnsi="Times New Roman" w:hint="eastAsia"/>
                <w:sz w:val="28"/>
                <w:szCs w:val="28"/>
              </w:rPr>
              <w:t>合计</w:t>
            </w:r>
            <w:r>
              <w:rPr>
                <w:rFonts w:ascii="仿宋_GB2312" w:eastAsia="仿宋_GB2312" w:hAnsi="Times New Roman" w:hint="eastAsia"/>
                <w:sz w:val="28"/>
                <w:szCs w:val="28"/>
              </w:rPr>
              <w:t>市场份额小于</w:t>
            </w:r>
            <w:r>
              <w:rPr>
                <w:rFonts w:ascii="仿宋_GB2312" w:eastAsia="仿宋_GB2312" w:hAnsi="Times New Roman" w:hint="eastAsia"/>
                <w:sz w:val="28"/>
                <w:szCs w:val="28"/>
              </w:rPr>
              <w:t>1</w:t>
            </w:r>
            <w:r w:rsidR="008B4FB2">
              <w:rPr>
                <w:rFonts w:ascii="仿宋_GB2312" w:eastAsia="仿宋_GB2312" w:hAnsi="Times New Roman" w:hint="eastAsia"/>
                <w:sz w:val="28"/>
                <w:szCs w:val="28"/>
              </w:rPr>
              <w:t>0</w:t>
            </w:r>
            <w:r>
              <w:rPr>
                <w:rFonts w:ascii="仿宋_GB2312" w:eastAsia="仿宋_GB2312" w:hAnsi="Times New Roman" w:hint="eastAsia"/>
                <w:sz w:val="28"/>
                <w:szCs w:val="28"/>
              </w:rPr>
              <w:t>%</w:t>
            </w:r>
            <w:r>
              <w:rPr>
                <w:rFonts w:ascii="仿宋_GB2312" w:eastAsia="仿宋_GB2312" w:hAnsi="Times New Roman" w:hint="eastAsia"/>
                <w:sz w:val="28"/>
                <w:szCs w:val="28"/>
              </w:rPr>
              <w:t>；</w:t>
            </w:r>
          </w:p>
        </w:tc>
      </w:tr>
    </w:tbl>
    <w:p w:rsidR="00CD1511" w:rsidRDefault="00CD1511">
      <w:pPr>
        <w:snapToGrid w:val="0"/>
        <w:spacing w:line="240" w:lineRule="exact"/>
        <w:jc w:val="left"/>
        <w:rPr>
          <w:rFonts w:ascii="楷体_GB2312" w:eastAsia="楷体_GB2312" w:hAnsi="宋体"/>
          <w:sz w:val="24"/>
          <w:szCs w:val="24"/>
        </w:rPr>
      </w:pPr>
    </w:p>
    <w:p w:rsidR="00CD1511" w:rsidRDefault="00CD1511"/>
    <w:sectPr w:rsidR="00CD15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仿宋_GB2312">
    <w:altName w:val="仿宋"/>
    <w:charset w:val="86"/>
    <w:family w:val="auto"/>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94095"/>
    <w:rsid w:val="001934D7"/>
    <w:rsid w:val="001A1119"/>
    <w:rsid w:val="001A4B9F"/>
    <w:rsid w:val="00245776"/>
    <w:rsid w:val="002A2D59"/>
    <w:rsid w:val="002B4BB1"/>
    <w:rsid w:val="002D2508"/>
    <w:rsid w:val="002E5831"/>
    <w:rsid w:val="002F2D60"/>
    <w:rsid w:val="00307976"/>
    <w:rsid w:val="004221F0"/>
    <w:rsid w:val="004442B8"/>
    <w:rsid w:val="00462174"/>
    <w:rsid w:val="004A7BC0"/>
    <w:rsid w:val="004B28A4"/>
    <w:rsid w:val="004C5EC0"/>
    <w:rsid w:val="004F1BDB"/>
    <w:rsid w:val="004F5DED"/>
    <w:rsid w:val="00511942"/>
    <w:rsid w:val="00531D9B"/>
    <w:rsid w:val="0059342A"/>
    <w:rsid w:val="005F167B"/>
    <w:rsid w:val="00617D96"/>
    <w:rsid w:val="006753D7"/>
    <w:rsid w:val="00695212"/>
    <w:rsid w:val="00697C85"/>
    <w:rsid w:val="006E6F6B"/>
    <w:rsid w:val="00775F46"/>
    <w:rsid w:val="007844B8"/>
    <w:rsid w:val="00823443"/>
    <w:rsid w:val="00884052"/>
    <w:rsid w:val="008B4FB2"/>
    <w:rsid w:val="008D2D64"/>
    <w:rsid w:val="00907256"/>
    <w:rsid w:val="00911D52"/>
    <w:rsid w:val="009D4A32"/>
    <w:rsid w:val="009F46EC"/>
    <w:rsid w:val="00A066DB"/>
    <w:rsid w:val="00A94C7E"/>
    <w:rsid w:val="00B620ED"/>
    <w:rsid w:val="00B834D2"/>
    <w:rsid w:val="00BA0750"/>
    <w:rsid w:val="00BB2377"/>
    <w:rsid w:val="00C236B0"/>
    <w:rsid w:val="00C9068E"/>
    <w:rsid w:val="00CD1511"/>
    <w:rsid w:val="00D21777"/>
    <w:rsid w:val="00D9764E"/>
    <w:rsid w:val="00DB3BBF"/>
    <w:rsid w:val="00DD487C"/>
    <w:rsid w:val="00DE08B2"/>
    <w:rsid w:val="00DE5E7A"/>
    <w:rsid w:val="00E572DD"/>
    <w:rsid w:val="00ED21B1"/>
    <w:rsid w:val="00F35B47"/>
    <w:rsid w:val="00F733DD"/>
    <w:rsid w:val="00F87C1F"/>
    <w:rsid w:val="05AF42A2"/>
    <w:rsid w:val="241C0579"/>
    <w:rsid w:val="286C23F3"/>
    <w:rsid w:val="2D663ED6"/>
    <w:rsid w:val="32E95B48"/>
    <w:rsid w:val="3ECA6672"/>
    <w:rsid w:val="593544E3"/>
    <w:rsid w:val="620A6CCF"/>
    <w:rsid w:val="65ED33A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endnote reference" w:qFormat="1"/>
    <w:lsdException w:name="endnote text"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endnote text"/>
    <w:basedOn w:val="a"/>
    <w:link w:val="Char"/>
    <w:uiPriority w:val="99"/>
    <w:semiHidden/>
    <w:unhideWhenUsed/>
    <w:qFormat/>
    <w:pPr>
      <w:snapToGrid w:val="0"/>
      <w:jc w:val="left"/>
    </w:pPr>
  </w:style>
  <w:style w:type="paragraph" w:styleId="a5">
    <w:name w:val="Balloon Text"/>
    <w:basedOn w:val="a"/>
    <w:link w:val="Char0"/>
    <w:uiPriority w:val="99"/>
    <w:semiHidden/>
    <w:unhideWhenUsed/>
    <w:qFormat/>
    <w:rPr>
      <w:sz w:val="18"/>
      <w:szCs w:val="18"/>
    </w:rPr>
  </w:style>
  <w:style w:type="paragraph" w:styleId="a6">
    <w:name w:val="footer"/>
    <w:basedOn w:val="a"/>
    <w:link w:val="Char1"/>
    <w:uiPriority w:val="99"/>
    <w:unhideWhenUsed/>
    <w:qFormat/>
    <w:pPr>
      <w:tabs>
        <w:tab w:val="center" w:pos="4153"/>
        <w:tab w:val="right" w:pos="8306"/>
      </w:tabs>
      <w:snapToGrid w:val="0"/>
      <w:jc w:val="left"/>
    </w:pPr>
    <w:rPr>
      <w:sz w:val="18"/>
      <w:szCs w:val="18"/>
    </w:rPr>
  </w:style>
  <w:style w:type="paragraph" w:styleId="a7">
    <w:name w:val="header"/>
    <w:basedOn w:val="a"/>
    <w:link w:val="Char2"/>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endnote reference"/>
    <w:uiPriority w:val="99"/>
    <w:semiHidden/>
    <w:unhideWhenUsed/>
    <w:qFormat/>
    <w:rPr>
      <w:vertAlign w:val="superscript"/>
    </w:rPr>
  </w:style>
  <w:style w:type="character" w:styleId="aa">
    <w:name w:val="annotation reference"/>
    <w:basedOn w:val="a0"/>
    <w:uiPriority w:val="99"/>
    <w:semiHidden/>
    <w:unhideWhenUsed/>
    <w:rPr>
      <w:sz w:val="21"/>
      <w:szCs w:val="21"/>
    </w:rPr>
  </w:style>
  <w:style w:type="character" w:customStyle="1" w:styleId="Char">
    <w:name w:val="尾注文本 Char"/>
    <w:basedOn w:val="a0"/>
    <w:link w:val="a4"/>
    <w:uiPriority w:val="99"/>
    <w:semiHidden/>
    <w:qFormat/>
  </w:style>
  <w:style w:type="character" w:customStyle="1" w:styleId="Char2">
    <w:name w:val="页眉 Char"/>
    <w:link w:val="a7"/>
    <w:uiPriority w:val="99"/>
    <w:qFormat/>
    <w:rPr>
      <w:sz w:val="18"/>
      <w:szCs w:val="18"/>
    </w:rPr>
  </w:style>
  <w:style w:type="character" w:customStyle="1" w:styleId="Char1">
    <w:name w:val="页脚 Char"/>
    <w:link w:val="a6"/>
    <w:uiPriority w:val="99"/>
    <w:qFormat/>
    <w:rPr>
      <w:sz w:val="18"/>
      <w:szCs w:val="18"/>
    </w:rPr>
  </w:style>
  <w:style w:type="paragraph" w:styleId="ab">
    <w:name w:val="List Paragraph"/>
    <w:basedOn w:val="a"/>
    <w:uiPriority w:val="34"/>
    <w:qFormat/>
    <w:pPr>
      <w:widowControl/>
      <w:spacing w:after="200" w:line="288" w:lineRule="auto"/>
      <w:ind w:firstLineChars="200" w:firstLine="420"/>
      <w:jc w:val="left"/>
    </w:pPr>
    <w:rPr>
      <w:iCs/>
      <w:kern w:val="0"/>
      <w:szCs w:val="21"/>
    </w:rPr>
  </w:style>
  <w:style w:type="character" w:customStyle="1" w:styleId="Char0">
    <w:name w:val="批注框文本 Char"/>
    <w:basedOn w:val="a0"/>
    <w:link w:val="a5"/>
    <w:uiPriority w:val="99"/>
    <w:semiHidden/>
    <w:qFormat/>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endnote reference" w:qFormat="1"/>
    <w:lsdException w:name="endnote text"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endnote text"/>
    <w:basedOn w:val="a"/>
    <w:link w:val="Char"/>
    <w:uiPriority w:val="99"/>
    <w:semiHidden/>
    <w:unhideWhenUsed/>
    <w:qFormat/>
    <w:pPr>
      <w:snapToGrid w:val="0"/>
      <w:jc w:val="left"/>
    </w:pPr>
  </w:style>
  <w:style w:type="paragraph" w:styleId="a5">
    <w:name w:val="Balloon Text"/>
    <w:basedOn w:val="a"/>
    <w:link w:val="Char0"/>
    <w:uiPriority w:val="99"/>
    <w:semiHidden/>
    <w:unhideWhenUsed/>
    <w:qFormat/>
    <w:rPr>
      <w:sz w:val="18"/>
      <w:szCs w:val="18"/>
    </w:rPr>
  </w:style>
  <w:style w:type="paragraph" w:styleId="a6">
    <w:name w:val="footer"/>
    <w:basedOn w:val="a"/>
    <w:link w:val="Char1"/>
    <w:uiPriority w:val="99"/>
    <w:unhideWhenUsed/>
    <w:qFormat/>
    <w:pPr>
      <w:tabs>
        <w:tab w:val="center" w:pos="4153"/>
        <w:tab w:val="right" w:pos="8306"/>
      </w:tabs>
      <w:snapToGrid w:val="0"/>
      <w:jc w:val="left"/>
    </w:pPr>
    <w:rPr>
      <w:sz w:val="18"/>
      <w:szCs w:val="18"/>
    </w:rPr>
  </w:style>
  <w:style w:type="paragraph" w:styleId="a7">
    <w:name w:val="header"/>
    <w:basedOn w:val="a"/>
    <w:link w:val="Char2"/>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endnote reference"/>
    <w:uiPriority w:val="99"/>
    <w:semiHidden/>
    <w:unhideWhenUsed/>
    <w:qFormat/>
    <w:rPr>
      <w:vertAlign w:val="superscript"/>
    </w:rPr>
  </w:style>
  <w:style w:type="character" w:styleId="aa">
    <w:name w:val="annotation reference"/>
    <w:basedOn w:val="a0"/>
    <w:uiPriority w:val="99"/>
    <w:semiHidden/>
    <w:unhideWhenUsed/>
    <w:rPr>
      <w:sz w:val="21"/>
      <w:szCs w:val="21"/>
    </w:rPr>
  </w:style>
  <w:style w:type="character" w:customStyle="1" w:styleId="Char">
    <w:name w:val="尾注文本 Char"/>
    <w:basedOn w:val="a0"/>
    <w:link w:val="a4"/>
    <w:uiPriority w:val="99"/>
    <w:semiHidden/>
    <w:qFormat/>
  </w:style>
  <w:style w:type="character" w:customStyle="1" w:styleId="Char2">
    <w:name w:val="页眉 Char"/>
    <w:link w:val="a7"/>
    <w:uiPriority w:val="99"/>
    <w:qFormat/>
    <w:rPr>
      <w:sz w:val="18"/>
      <w:szCs w:val="18"/>
    </w:rPr>
  </w:style>
  <w:style w:type="character" w:customStyle="1" w:styleId="Char1">
    <w:name w:val="页脚 Char"/>
    <w:link w:val="a6"/>
    <w:uiPriority w:val="99"/>
    <w:qFormat/>
    <w:rPr>
      <w:sz w:val="18"/>
      <w:szCs w:val="18"/>
    </w:rPr>
  </w:style>
  <w:style w:type="paragraph" w:styleId="ab">
    <w:name w:val="List Paragraph"/>
    <w:basedOn w:val="a"/>
    <w:uiPriority w:val="34"/>
    <w:qFormat/>
    <w:pPr>
      <w:widowControl/>
      <w:spacing w:after="200" w:line="288" w:lineRule="auto"/>
      <w:ind w:firstLineChars="200" w:firstLine="420"/>
      <w:jc w:val="left"/>
    </w:pPr>
    <w:rPr>
      <w:iCs/>
      <w:kern w:val="0"/>
      <w:szCs w:val="21"/>
    </w:rPr>
  </w:style>
  <w:style w:type="character" w:customStyle="1" w:styleId="Char0">
    <w:name w:val="批注框文本 Char"/>
    <w:basedOn w:val="a0"/>
    <w:link w:val="a5"/>
    <w:uiPriority w:val="99"/>
    <w:semiHidden/>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A233F0-1E93-44DD-A396-96503500A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134</Words>
  <Characters>766</Characters>
  <Application>Microsoft Office Word</Application>
  <DocSecurity>0</DocSecurity>
  <Lines>6</Lines>
  <Paragraphs>1</Paragraphs>
  <ScaleCrop>false</ScaleCrop>
  <Company>Microsoft</Company>
  <LinksUpToDate>false</LinksUpToDate>
  <CharactersWithSpaces>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JT&amp;N</dc:creator>
  <cp:lastModifiedBy>user</cp:lastModifiedBy>
  <cp:revision>6</cp:revision>
  <cp:lastPrinted>2019-07-11T12:05:00Z</cp:lastPrinted>
  <dcterms:created xsi:type="dcterms:W3CDTF">2017-01-10T07:15:00Z</dcterms:created>
  <dcterms:modified xsi:type="dcterms:W3CDTF">2019-09-02T08:31:00Z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2052-11.1.0.8808</vt:lpwstr>
  </property>
</Properties>
</file>