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00DF" w:rsidRDefault="00CB00DF" w:rsidP="00EF5714">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EF5714" w:rsidRPr="00EF5714" w:rsidRDefault="00EF5714" w:rsidP="00EF5714">
      <w:pPr>
        <w:spacing w:line="440" w:lineRule="exact"/>
        <w:jc w:val="center"/>
        <w:rPr>
          <w:rFonts w:ascii="黑体" w:eastAsia="黑体" w:hAnsi="Times New Roman"/>
          <w:sz w:val="30"/>
          <w:szCs w:val="3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6"/>
        <w:gridCol w:w="2195"/>
        <w:gridCol w:w="4875"/>
      </w:tblGrid>
      <w:tr w:rsidR="00CB00DF" w:rsidRPr="00EF5714" w:rsidTr="00EF5714">
        <w:tc>
          <w:tcPr>
            <w:tcW w:w="0" w:type="auto"/>
            <w:shd w:val="clear" w:color="auto" w:fill="D9D9D9"/>
            <w:vAlign w:val="center"/>
          </w:tcPr>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案件名称</w:t>
            </w:r>
          </w:p>
        </w:tc>
        <w:tc>
          <w:tcPr>
            <w:tcW w:w="0" w:type="auto"/>
            <w:gridSpan w:val="2"/>
          </w:tcPr>
          <w:p w:rsidR="00CB00DF" w:rsidRPr="00EF5714" w:rsidRDefault="001E440C" w:rsidP="00EC6B24">
            <w:pPr>
              <w:spacing w:line="500" w:lineRule="exact"/>
              <w:rPr>
                <w:rFonts w:ascii="仿宋" w:eastAsia="仿宋" w:hAnsi="仿宋"/>
                <w:color w:val="333333"/>
                <w:kern w:val="0"/>
                <w:sz w:val="24"/>
                <w:szCs w:val="24"/>
                <w:bdr w:val="none" w:sz="0" w:space="0" w:color="auto" w:frame="1"/>
              </w:rPr>
            </w:pPr>
            <w:r w:rsidRPr="001E440C">
              <w:rPr>
                <w:rFonts w:ascii="仿宋" w:eastAsia="仿宋" w:hAnsi="仿宋"/>
                <w:bCs/>
                <w:color w:val="333333"/>
                <w:kern w:val="0"/>
                <w:sz w:val="24"/>
                <w:szCs w:val="24"/>
                <w:bdr w:val="none" w:sz="0" w:space="0" w:color="auto" w:frame="1"/>
              </w:rPr>
              <w:t>麦格理企业控股有限公司</w:t>
            </w:r>
            <w:r w:rsidRPr="001E440C">
              <w:rPr>
                <w:rFonts w:ascii="仿宋" w:eastAsia="仿宋" w:hAnsi="仿宋" w:hint="eastAsia"/>
                <w:bCs/>
                <w:color w:val="333333"/>
                <w:kern w:val="0"/>
                <w:sz w:val="24"/>
                <w:szCs w:val="24"/>
                <w:bdr w:val="none" w:sz="0" w:space="0" w:color="auto" w:frame="1"/>
              </w:rPr>
              <w:t>与</w:t>
            </w:r>
            <w:r w:rsidRPr="001E440C">
              <w:rPr>
                <w:rFonts w:ascii="仿宋" w:eastAsia="仿宋" w:hAnsi="仿宋"/>
                <w:bCs/>
                <w:color w:val="333333"/>
                <w:kern w:val="0"/>
                <w:sz w:val="24"/>
                <w:szCs w:val="24"/>
                <w:bdr w:val="none" w:sz="0" w:space="0" w:color="auto" w:frame="1"/>
              </w:rPr>
              <w:t>基金会保管人PGGM基础设施基金收购杰纳西及怀俄明澳大利亚控股有限合伙</w:t>
            </w:r>
            <w:r w:rsidRPr="001E440C">
              <w:rPr>
                <w:rFonts w:ascii="仿宋" w:eastAsia="仿宋" w:hAnsi="仿宋" w:hint="eastAsia"/>
                <w:bCs/>
                <w:color w:val="333333"/>
                <w:kern w:val="0"/>
                <w:sz w:val="24"/>
                <w:szCs w:val="24"/>
                <w:bdr w:val="none" w:sz="0" w:space="0" w:color="auto" w:frame="1"/>
              </w:rPr>
              <w:t>之</w:t>
            </w:r>
            <w:r w:rsidRPr="001E440C">
              <w:rPr>
                <w:rFonts w:ascii="仿宋" w:eastAsia="仿宋" w:hAnsi="仿宋"/>
                <w:bCs/>
                <w:color w:val="333333"/>
                <w:kern w:val="0"/>
                <w:sz w:val="24"/>
                <w:szCs w:val="24"/>
                <w:bdr w:val="none" w:sz="0" w:space="0" w:color="auto" w:frame="1"/>
              </w:rPr>
              <w:t>合伙权益案（“</w:t>
            </w:r>
            <w:r w:rsidRPr="001E440C">
              <w:rPr>
                <w:rFonts w:ascii="仿宋" w:eastAsia="仿宋" w:hAnsi="仿宋"/>
                <w:b/>
                <w:bCs/>
                <w:color w:val="333333"/>
                <w:kern w:val="0"/>
                <w:sz w:val="24"/>
                <w:szCs w:val="24"/>
                <w:bdr w:val="none" w:sz="0" w:space="0" w:color="auto" w:frame="1"/>
              </w:rPr>
              <w:t>拟议交易</w:t>
            </w:r>
            <w:r w:rsidRPr="001E440C">
              <w:rPr>
                <w:rFonts w:ascii="仿宋" w:eastAsia="仿宋" w:hAnsi="仿宋"/>
                <w:bCs/>
                <w:color w:val="333333"/>
                <w:kern w:val="0"/>
                <w:sz w:val="24"/>
                <w:szCs w:val="24"/>
                <w:bdr w:val="none" w:sz="0" w:space="0" w:color="auto" w:frame="1"/>
              </w:rPr>
              <w:t>”）</w:t>
            </w:r>
          </w:p>
        </w:tc>
      </w:tr>
      <w:tr w:rsidR="00CB00DF" w:rsidRPr="00EF5714" w:rsidTr="00EF5714">
        <w:trPr>
          <w:trHeight w:val="993"/>
        </w:trPr>
        <w:tc>
          <w:tcPr>
            <w:tcW w:w="0" w:type="auto"/>
            <w:shd w:val="clear" w:color="auto" w:fill="D9D9D9"/>
            <w:vAlign w:val="center"/>
          </w:tcPr>
          <w:p w:rsidR="00F1624E" w:rsidRPr="00EF5714" w:rsidRDefault="00CB00DF"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交易概况</w:t>
            </w:r>
          </w:p>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（限200字内）</w:t>
            </w:r>
          </w:p>
        </w:tc>
        <w:tc>
          <w:tcPr>
            <w:tcW w:w="0" w:type="auto"/>
            <w:gridSpan w:val="2"/>
          </w:tcPr>
          <w:p w:rsidR="00CB00DF" w:rsidRPr="00EF5714" w:rsidRDefault="001E440C" w:rsidP="00EC6B24">
            <w:pPr>
              <w:spacing w:line="500" w:lineRule="exact"/>
              <w:rPr>
                <w:rFonts w:ascii="仿宋" w:eastAsia="仿宋" w:hAnsi="仿宋"/>
                <w:color w:val="333333"/>
                <w:kern w:val="0"/>
                <w:sz w:val="24"/>
                <w:szCs w:val="24"/>
                <w:bdr w:val="none" w:sz="0" w:space="0" w:color="auto" w:frame="1"/>
              </w:rPr>
            </w:pPr>
            <w:r w:rsidRPr="001E440C">
              <w:rPr>
                <w:rFonts w:ascii="仿宋" w:eastAsia="仿宋" w:hAnsi="仿宋" w:hint="eastAsia"/>
                <w:color w:val="333333"/>
                <w:kern w:val="0"/>
                <w:sz w:val="24"/>
                <w:szCs w:val="24"/>
                <w:bdr w:val="none" w:sz="0" w:space="0" w:color="auto" w:frame="1"/>
              </w:rPr>
              <w:t>通过拟议交易，杰纳西及怀俄明公司</w:t>
            </w:r>
            <w:r>
              <w:rPr>
                <w:rFonts w:ascii="仿宋" w:eastAsia="仿宋" w:hAnsi="仿宋" w:hint="eastAsia"/>
                <w:color w:val="333333"/>
                <w:kern w:val="0"/>
                <w:sz w:val="24"/>
                <w:szCs w:val="24"/>
                <w:bdr w:val="none" w:sz="0" w:space="0" w:color="auto" w:frame="1"/>
              </w:rPr>
              <w:t>（</w:t>
            </w:r>
            <w:r w:rsidR="00EC6B24">
              <w:rPr>
                <w:rFonts w:ascii="仿宋" w:eastAsia="仿宋" w:hAnsi="仿宋" w:hint="eastAsia"/>
                <w:color w:val="333333"/>
                <w:kern w:val="0"/>
                <w:sz w:val="24"/>
                <w:szCs w:val="24"/>
                <w:bdr w:val="none" w:sz="0" w:space="0" w:color="auto" w:frame="1"/>
              </w:rPr>
              <w:t>“</w:t>
            </w:r>
            <w:r w:rsidR="00EC6B24">
              <w:rPr>
                <w:rFonts w:ascii="仿宋" w:eastAsia="仿宋" w:hAnsi="仿宋" w:hint="eastAsia"/>
                <w:color w:val="333333"/>
                <w:kern w:val="0"/>
                <w:sz w:val="24"/>
                <w:szCs w:val="24"/>
                <w:bdr w:val="none" w:sz="0" w:space="0" w:color="auto" w:frame="1"/>
              </w:rPr>
              <w:t>G</w:t>
            </w:r>
            <w:r w:rsidR="00EC6B24">
              <w:rPr>
                <w:rFonts w:ascii="仿宋" w:eastAsia="仿宋" w:hAnsi="仿宋"/>
                <w:color w:val="333333"/>
                <w:kern w:val="0"/>
                <w:sz w:val="24"/>
                <w:szCs w:val="24"/>
                <w:bdr w:val="none" w:sz="0" w:space="0" w:color="auto" w:frame="1"/>
              </w:rPr>
              <w:t>WI</w:t>
            </w:r>
            <w:r w:rsidR="00EC6B24">
              <w:rPr>
                <w:rFonts w:ascii="仿宋" w:eastAsia="仿宋" w:hAnsi="仿宋" w:hint="eastAsia"/>
                <w:color w:val="333333"/>
                <w:kern w:val="0"/>
                <w:sz w:val="24"/>
                <w:szCs w:val="24"/>
                <w:bdr w:val="none" w:sz="0" w:space="0" w:color="auto" w:frame="1"/>
              </w:rPr>
              <w:t>”</w:t>
            </w:r>
            <w:r>
              <w:rPr>
                <w:rFonts w:ascii="仿宋" w:eastAsia="仿宋" w:hAnsi="仿宋" w:hint="eastAsia"/>
                <w:color w:val="333333"/>
                <w:kern w:val="0"/>
                <w:sz w:val="24"/>
                <w:szCs w:val="24"/>
                <w:bdr w:val="none" w:sz="0" w:space="0" w:color="auto" w:frame="1"/>
              </w:rPr>
              <w:t>）</w:t>
            </w:r>
            <w:r w:rsidRPr="001E440C">
              <w:rPr>
                <w:rFonts w:ascii="仿宋" w:eastAsia="仿宋" w:hAnsi="仿宋" w:hint="eastAsia"/>
                <w:color w:val="333333"/>
                <w:kern w:val="0"/>
                <w:sz w:val="24"/>
                <w:szCs w:val="24"/>
                <w:bdr w:val="none" w:sz="0" w:space="0" w:color="auto" w:frame="1"/>
              </w:rPr>
              <w:t>将从</w:t>
            </w:r>
            <w:r w:rsidR="00EC6B24" w:rsidRPr="00EC6B24">
              <w:rPr>
                <w:rFonts w:ascii="仿宋" w:eastAsia="仿宋" w:hAnsi="仿宋" w:hint="eastAsia"/>
                <w:color w:val="333333"/>
                <w:kern w:val="0"/>
                <w:sz w:val="24"/>
                <w:szCs w:val="24"/>
                <w:bdr w:val="none" w:sz="0" w:space="0" w:color="auto" w:frame="1"/>
              </w:rPr>
              <w:t>杰纳西及怀俄明澳大利亚控股有限合伙（“GWA”）</w:t>
            </w:r>
            <w:r w:rsidRPr="001E440C">
              <w:rPr>
                <w:rFonts w:ascii="仿宋" w:eastAsia="仿宋" w:hAnsi="仿宋" w:hint="eastAsia"/>
                <w:color w:val="333333"/>
                <w:kern w:val="0"/>
                <w:sz w:val="24"/>
                <w:szCs w:val="24"/>
                <w:bdr w:val="none" w:sz="0" w:space="0" w:color="auto" w:frame="1"/>
              </w:rPr>
              <w:t>中退伙，GWA的其他合伙人</w:t>
            </w:r>
            <w:r>
              <w:rPr>
                <w:rFonts w:ascii="仿宋" w:eastAsia="仿宋" w:hAnsi="仿宋" w:hint="eastAsia"/>
                <w:color w:val="333333"/>
                <w:kern w:val="0"/>
                <w:sz w:val="24"/>
                <w:szCs w:val="24"/>
                <w:bdr w:val="none" w:sz="0" w:space="0" w:color="auto" w:frame="1"/>
              </w:rPr>
              <w:t>（即</w:t>
            </w:r>
            <w:r>
              <w:rPr>
                <w:rFonts w:ascii="仿宋" w:eastAsia="仿宋" w:hAnsi="仿宋"/>
                <w:color w:val="333333"/>
                <w:kern w:val="0"/>
                <w:sz w:val="24"/>
                <w:szCs w:val="24"/>
                <w:bdr w:val="none" w:sz="0" w:space="0" w:color="auto" w:frame="1"/>
              </w:rPr>
              <w:t>由</w:t>
            </w:r>
            <w:r w:rsidR="00EC6B24" w:rsidRPr="00EC6B24">
              <w:rPr>
                <w:rFonts w:ascii="仿宋" w:eastAsia="仿宋" w:hAnsi="仿宋" w:hint="eastAsia"/>
                <w:color w:val="333333"/>
                <w:kern w:val="0"/>
                <w:sz w:val="24"/>
                <w:szCs w:val="24"/>
                <w:bdr w:val="none" w:sz="0" w:space="0" w:color="auto" w:frame="1"/>
              </w:rPr>
              <w:t>PGGM</w:t>
            </w:r>
            <w:r w:rsidR="00EC6B24">
              <w:rPr>
                <w:rFonts w:ascii="仿宋" w:eastAsia="仿宋" w:hAnsi="仿宋" w:hint="eastAsia"/>
                <w:color w:val="333333"/>
                <w:kern w:val="0"/>
                <w:sz w:val="24"/>
                <w:szCs w:val="24"/>
                <w:bdr w:val="none" w:sz="0" w:space="0" w:color="auto" w:frame="1"/>
              </w:rPr>
              <w:t>基础设施基金（</w:t>
            </w:r>
            <w:r w:rsidR="00EC6B24" w:rsidRPr="00EC6B24">
              <w:rPr>
                <w:rFonts w:ascii="仿宋" w:eastAsia="仿宋" w:hAnsi="仿宋" w:hint="eastAsia"/>
                <w:color w:val="333333"/>
                <w:kern w:val="0"/>
                <w:sz w:val="24"/>
                <w:szCs w:val="24"/>
                <w:bdr w:val="none" w:sz="0" w:space="0" w:color="auto" w:frame="1"/>
              </w:rPr>
              <w:t>“PGGM”</w:t>
            </w:r>
            <w:r w:rsidR="00EC6B24">
              <w:rPr>
                <w:rFonts w:ascii="仿宋" w:eastAsia="仿宋" w:hAnsi="仿宋" w:hint="eastAsia"/>
                <w:color w:val="333333"/>
                <w:kern w:val="0"/>
                <w:sz w:val="24"/>
                <w:szCs w:val="24"/>
                <w:bdr w:val="none" w:sz="0" w:space="0" w:color="auto" w:frame="1"/>
              </w:rPr>
              <w:t>）</w:t>
            </w:r>
            <w:r>
              <w:rPr>
                <w:rFonts w:ascii="仿宋" w:eastAsia="仿宋" w:hAnsi="仿宋" w:hint="eastAsia"/>
                <w:color w:val="333333"/>
                <w:kern w:val="0"/>
                <w:sz w:val="24"/>
                <w:szCs w:val="24"/>
                <w:bdr w:val="none" w:sz="0" w:space="0" w:color="auto" w:frame="1"/>
              </w:rPr>
              <w:t>控制的若干实体与由</w:t>
            </w:r>
            <w:r w:rsidRPr="001E440C">
              <w:rPr>
                <w:rFonts w:ascii="仿宋" w:eastAsia="仿宋" w:hAnsi="仿宋" w:hint="eastAsia"/>
                <w:color w:val="333333"/>
                <w:kern w:val="0"/>
                <w:sz w:val="24"/>
                <w:szCs w:val="24"/>
                <w:bdr w:val="none" w:sz="0" w:space="0" w:color="auto" w:frame="1"/>
              </w:rPr>
              <w:t>麦格理企业控股有限公司</w:t>
            </w:r>
            <w:r>
              <w:rPr>
                <w:rFonts w:ascii="仿宋" w:eastAsia="仿宋" w:hAnsi="仿宋" w:hint="eastAsia"/>
                <w:color w:val="333333"/>
                <w:kern w:val="0"/>
                <w:sz w:val="24"/>
                <w:szCs w:val="24"/>
                <w:bdr w:val="none" w:sz="0" w:space="0" w:color="auto" w:frame="1"/>
              </w:rPr>
              <w:t>控制的若干实体）</w:t>
            </w:r>
            <w:r w:rsidRPr="001E440C">
              <w:rPr>
                <w:rFonts w:ascii="仿宋" w:eastAsia="仿宋" w:hAnsi="仿宋" w:hint="eastAsia"/>
                <w:color w:val="333333"/>
                <w:kern w:val="0"/>
                <w:sz w:val="24"/>
                <w:szCs w:val="24"/>
                <w:bdr w:val="none" w:sz="0" w:space="0" w:color="auto" w:frame="1"/>
              </w:rPr>
              <w:t>将增加持有其合伙权益</w:t>
            </w:r>
            <w:r>
              <w:rPr>
                <w:rFonts w:ascii="仿宋" w:eastAsia="仿宋" w:hAnsi="仿宋" w:hint="eastAsia"/>
                <w:color w:val="333333"/>
                <w:kern w:val="0"/>
                <w:sz w:val="24"/>
                <w:szCs w:val="24"/>
                <w:bdr w:val="none" w:sz="0" w:space="0" w:color="auto" w:frame="1"/>
              </w:rPr>
              <w:t>。拟议交易完成后，</w:t>
            </w:r>
            <w:r w:rsidRPr="001E440C">
              <w:rPr>
                <w:rFonts w:ascii="仿宋" w:eastAsia="仿宋" w:hAnsi="仿宋" w:hint="eastAsia"/>
                <w:color w:val="333333"/>
                <w:kern w:val="0"/>
                <w:sz w:val="24"/>
                <w:szCs w:val="24"/>
                <w:bdr w:val="none" w:sz="0" w:space="0" w:color="auto" w:frame="1"/>
              </w:rPr>
              <w:t>PGGM</w:t>
            </w:r>
            <w:r>
              <w:rPr>
                <w:rFonts w:ascii="仿宋" w:eastAsia="仿宋" w:hAnsi="仿宋" w:hint="eastAsia"/>
                <w:color w:val="333333"/>
                <w:kern w:val="0"/>
                <w:sz w:val="24"/>
                <w:szCs w:val="24"/>
                <w:bdr w:val="none" w:sz="0" w:space="0" w:color="auto" w:frame="1"/>
              </w:rPr>
              <w:t>和</w:t>
            </w:r>
            <w:r w:rsidRPr="001E440C">
              <w:rPr>
                <w:rFonts w:ascii="仿宋" w:eastAsia="仿宋" w:hAnsi="仿宋" w:hint="eastAsia"/>
                <w:color w:val="333333"/>
                <w:kern w:val="0"/>
                <w:sz w:val="24"/>
                <w:szCs w:val="24"/>
                <w:bdr w:val="none" w:sz="0" w:space="0" w:color="auto" w:frame="1"/>
              </w:rPr>
              <w:t>麦格理企业控股有限公司</w:t>
            </w:r>
            <w:r>
              <w:rPr>
                <w:rFonts w:ascii="仿宋" w:eastAsia="仿宋" w:hAnsi="仿宋" w:hint="eastAsia"/>
                <w:color w:val="333333"/>
                <w:kern w:val="0"/>
                <w:sz w:val="24"/>
                <w:szCs w:val="24"/>
                <w:bdr w:val="none" w:sz="0" w:space="0" w:color="auto" w:frame="1"/>
              </w:rPr>
              <w:t>将共同控制</w:t>
            </w:r>
            <w:r w:rsidRPr="001E440C">
              <w:rPr>
                <w:rFonts w:ascii="仿宋" w:eastAsia="仿宋" w:hAnsi="仿宋" w:hint="eastAsia"/>
                <w:color w:val="333333"/>
                <w:kern w:val="0"/>
                <w:sz w:val="24"/>
                <w:szCs w:val="24"/>
                <w:bdr w:val="none" w:sz="0" w:space="0" w:color="auto" w:frame="1"/>
              </w:rPr>
              <w:t>GWA</w:t>
            </w:r>
            <w:r>
              <w:rPr>
                <w:rFonts w:ascii="仿宋" w:eastAsia="仿宋" w:hAnsi="仿宋" w:hint="eastAsia"/>
                <w:color w:val="333333"/>
                <w:kern w:val="0"/>
                <w:sz w:val="24"/>
                <w:szCs w:val="24"/>
                <w:bdr w:val="none" w:sz="0" w:space="0" w:color="auto" w:frame="1"/>
              </w:rPr>
              <w:t>。</w:t>
            </w:r>
          </w:p>
        </w:tc>
      </w:tr>
      <w:tr w:rsidR="001E440C" w:rsidRPr="00EF5714" w:rsidTr="00EF5714">
        <w:trPr>
          <w:trHeight w:val="468"/>
        </w:trPr>
        <w:tc>
          <w:tcPr>
            <w:tcW w:w="0" w:type="auto"/>
            <w:vMerge w:val="restart"/>
            <w:shd w:val="clear" w:color="auto" w:fill="D9D9D9"/>
            <w:vAlign w:val="center"/>
          </w:tcPr>
          <w:p w:rsidR="001E440C" w:rsidRPr="00EF5714" w:rsidRDefault="001E440C"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参与集中的</w:t>
            </w:r>
          </w:p>
          <w:p w:rsidR="001E440C" w:rsidRPr="00EF5714" w:rsidRDefault="001E440C"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经营者简介</w:t>
            </w:r>
          </w:p>
        </w:tc>
        <w:tc>
          <w:tcPr>
            <w:tcW w:w="0" w:type="auto"/>
          </w:tcPr>
          <w:p w:rsidR="001E440C" w:rsidRPr="00EF5714" w:rsidRDefault="001E440C" w:rsidP="00871770">
            <w:pPr>
              <w:spacing w:line="500" w:lineRule="exact"/>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1、</w:t>
            </w:r>
            <w:r w:rsidRPr="001E440C">
              <w:rPr>
                <w:rFonts w:ascii="仿宋" w:eastAsia="仿宋" w:hAnsi="仿宋" w:hint="eastAsia"/>
                <w:bCs/>
                <w:color w:val="333333"/>
                <w:kern w:val="0"/>
                <w:sz w:val="24"/>
                <w:szCs w:val="24"/>
                <w:bdr w:val="none" w:sz="0" w:space="0" w:color="auto" w:frame="1"/>
              </w:rPr>
              <w:t>麦格理企业控股有限公司</w:t>
            </w:r>
          </w:p>
        </w:tc>
        <w:tc>
          <w:tcPr>
            <w:tcW w:w="0" w:type="auto"/>
          </w:tcPr>
          <w:p w:rsidR="001E440C" w:rsidRPr="001E440C" w:rsidRDefault="001E440C" w:rsidP="001E440C">
            <w:pPr>
              <w:spacing w:line="500" w:lineRule="exact"/>
              <w:rPr>
                <w:rFonts w:ascii="仿宋" w:eastAsia="仿宋" w:hAnsi="仿宋"/>
                <w:color w:val="333333"/>
                <w:kern w:val="0"/>
                <w:sz w:val="24"/>
                <w:szCs w:val="24"/>
                <w:bdr w:val="none" w:sz="0" w:space="0" w:color="auto" w:frame="1"/>
              </w:rPr>
            </w:pPr>
            <w:r w:rsidRPr="001E440C">
              <w:rPr>
                <w:rFonts w:ascii="仿宋" w:eastAsia="仿宋" w:hAnsi="仿宋" w:hint="eastAsia"/>
                <w:color w:val="333333"/>
                <w:kern w:val="0"/>
                <w:sz w:val="24"/>
                <w:szCs w:val="24"/>
                <w:bdr w:val="none" w:sz="0" w:space="0" w:color="auto" w:frame="1"/>
              </w:rPr>
              <w:t>麦格理企业控股有限公司的主要业务是担任麦格理资本部门、麦格理资产管理部门、麦格理大宗商品及全球市场部门以及其他一些公司活动的控股和运营公司。麦格理企业控股有限公司在英国设有分支机构，作为投资和经营非银行业务的英国区域融资中心。</w:t>
            </w:r>
          </w:p>
          <w:p w:rsidR="001E440C" w:rsidRPr="001E440C" w:rsidRDefault="001E440C" w:rsidP="001E440C">
            <w:pPr>
              <w:spacing w:line="500" w:lineRule="exact"/>
              <w:rPr>
                <w:rFonts w:ascii="仿宋" w:eastAsia="仿宋" w:hAnsi="仿宋"/>
                <w:color w:val="333333"/>
                <w:kern w:val="0"/>
                <w:sz w:val="24"/>
                <w:szCs w:val="24"/>
                <w:bdr w:val="none" w:sz="0" w:space="0" w:color="auto" w:frame="1"/>
              </w:rPr>
            </w:pPr>
          </w:p>
          <w:p w:rsidR="001E440C" w:rsidRPr="00EF5714" w:rsidRDefault="001E440C" w:rsidP="001E440C">
            <w:pPr>
              <w:spacing w:line="500" w:lineRule="exact"/>
              <w:rPr>
                <w:rFonts w:ascii="仿宋" w:eastAsia="仿宋" w:hAnsi="仿宋"/>
                <w:color w:val="333333"/>
                <w:kern w:val="0"/>
                <w:sz w:val="24"/>
                <w:szCs w:val="24"/>
                <w:bdr w:val="none" w:sz="0" w:space="0" w:color="auto" w:frame="1"/>
              </w:rPr>
            </w:pPr>
            <w:r w:rsidRPr="001E440C">
              <w:rPr>
                <w:rFonts w:ascii="仿宋" w:eastAsia="仿宋" w:hAnsi="仿宋" w:hint="eastAsia"/>
                <w:color w:val="333333"/>
                <w:kern w:val="0"/>
                <w:sz w:val="24"/>
                <w:szCs w:val="24"/>
                <w:bdr w:val="none" w:sz="0" w:space="0" w:color="auto" w:frame="1"/>
              </w:rPr>
              <w:t>从集团层面看，麦格理集团在全球范围主要作为机构、企业、政府和零售客户以及交易对手的投资中介，为客户提供资产管理和金融、银行以及涵盖债务、股权以及大宗商品的咨询、风险和资本解决方案服务。</w:t>
            </w:r>
          </w:p>
        </w:tc>
      </w:tr>
      <w:tr w:rsidR="001E440C" w:rsidRPr="00EF5714" w:rsidTr="00EF5714">
        <w:trPr>
          <w:trHeight w:val="404"/>
        </w:trPr>
        <w:tc>
          <w:tcPr>
            <w:tcW w:w="0" w:type="auto"/>
            <w:vMerge/>
            <w:shd w:val="clear" w:color="auto" w:fill="D9D9D9"/>
            <w:vAlign w:val="center"/>
          </w:tcPr>
          <w:p w:rsidR="001E440C" w:rsidRPr="00EF5714" w:rsidRDefault="001E440C" w:rsidP="00CB00DF">
            <w:pPr>
              <w:spacing w:line="500" w:lineRule="exact"/>
              <w:jc w:val="center"/>
              <w:rPr>
                <w:rFonts w:ascii="仿宋" w:eastAsia="仿宋" w:hAnsi="仿宋"/>
                <w:color w:val="333333"/>
                <w:kern w:val="0"/>
                <w:sz w:val="24"/>
                <w:szCs w:val="24"/>
                <w:bdr w:val="none" w:sz="0" w:space="0" w:color="auto" w:frame="1"/>
              </w:rPr>
            </w:pPr>
          </w:p>
        </w:tc>
        <w:tc>
          <w:tcPr>
            <w:tcW w:w="0" w:type="auto"/>
          </w:tcPr>
          <w:p w:rsidR="001E440C" w:rsidRPr="00EF5714" w:rsidRDefault="001E440C" w:rsidP="00FA4A59">
            <w:pPr>
              <w:spacing w:line="500" w:lineRule="exact"/>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2、</w:t>
            </w:r>
            <w:r w:rsidRPr="001E440C">
              <w:rPr>
                <w:rFonts w:ascii="仿宋" w:eastAsia="仿宋" w:hAnsi="仿宋" w:hint="eastAsia"/>
                <w:color w:val="333333"/>
                <w:kern w:val="0"/>
                <w:sz w:val="24"/>
                <w:szCs w:val="24"/>
                <w:bdr w:val="none" w:sz="0" w:space="0" w:color="auto" w:frame="1"/>
              </w:rPr>
              <w:t>基金会保管人PGGM基础设施基金</w:t>
            </w:r>
            <w:r>
              <w:rPr>
                <w:rFonts w:ascii="仿宋" w:eastAsia="仿宋" w:hAnsi="仿宋" w:hint="eastAsia"/>
                <w:color w:val="333333"/>
                <w:kern w:val="0"/>
                <w:sz w:val="24"/>
                <w:szCs w:val="24"/>
                <w:bdr w:val="none" w:sz="0" w:space="0" w:color="auto" w:frame="1"/>
              </w:rPr>
              <w:t>（“</w:t>
            </w:r>
            <w:r w:rsidRPr="00932E87">
              <w:rPr>
                <w:rFonts w:ascii="仿宋" w:eastAsia="仿宋" w:hAnsi="仿宋"/>
                <w:b/>
                <w:color w:val="333333"/>
                <w:kern w:val="0"/>
                <w:sz w:val="24"/>
                <w:szCs w:val="24"/>
                <w:bdr w:val="none" w:sz="0" w:space="0" w:color="auto" w:frame="1"/>
              </w:rPr>
              <w:t>PGGM母公司</w:t>
            </w:r>
            <w:r>
              <w:rPr>
                <w:rFonts w:ascii="仿宋" w:eastAsia="仿宋" w:hAnsi="仿宋" w:hint="eastAsia"/>
                <w:color w:val="333333"/>
                <w:kern w:val="0"/>
                <w:sz w:val="24"/>
                <w:szCs w:val="24"/>
                <w:bdr w:val="none" w:sz="0" w:space="0" w:color="auto" w:frame="1"/>
              </w:rPr>
              <w:t>”）</w:t>
            </w:r>
          </w:p>
        </w:tc>
        <w:tc>
          <w:tcPr>
            <w:tcW w:w="0" w:type="auto"/>
          </w:tcPr>
          <w:p w:rsidR="001E440C" w:rsidRDefault="001E440C" w:rsidP="00EF5714">
            <w:pPr>
              <w:spacing w:line="500" w:lineRule="exact"/>
              <w:rPr>
                <w:rFonts w:ascii="仿宋" w:eastAsia="仿宋" w:hAnsi="仿宋"/>
                <w:color w:val="333333"/>
                <w:kern w:val="0"/>
                <w:sz w:val="24"/>
                <w:szCs w:val="24"/>
                <w:bdr w:val="none" w:sz="0" w:space="0" w:color="auto" w:frame="1"/>
              </w:rPr>
            </w:pPr>
            <w:r w:rsidRPr="001E440C">
              <w:rPr>
                <w:rFonts w:ascii="仿宋" w:eastAsia="仿宋" w:hAnsi="仿宋" w:hint="eastAsia"/>
                <w:color w:val="333333"/>
                <w:kern w:val="0"/>
                <w:sz w:val="24"/>
                <w:szCs w:val="24"/>
                <w:bdr w:val="none" w:sz="0" w:space="0" w:color="auto" w:frame="1"/>
              </w:rPr>
              <w:t>PGGM母公司是一家控股实体，拥有PGGM的资产的法定所有权</w:t>
            </w:r>
            <w:r>
              <w:rPr>
                <w:rFonts w:ascii="仿宋" w:eastAsia="仿宋" w:hAnsi="仿宋" w:hint="eastAsia"/>
                <w:color w:val="333333"/>
                <w:kern w:val="0"/>
                <w:sz w:val="24"/>
                <w:szCs w:val="24"/>
                <w:bdr w:val="none" w:sz="0" w:space="0" w:color="auto" w:frame="1"/>
              </w:rPr>
              <w:t>。</w:t>
            </w:r>
          </w:p>
          <w:p w:rsidR="001E440C" w:rsidRPr="00EF5714" w:rsidRDefault="001E440C" w:rsidP="001E440C">
            <w:pPr>
              <w:spacing w:line="500" w:lineRule="exact"/>
              <w:rPr>
                <w:rFonts w:ascii="仿宋" w:eastAsia="仿宋" w:hAnsi="仿宋"/>
                <w:color w:val="333333"/>
                <w:kern w:val="0"/>
                <w:sz w:val="24"/>
                <w:szCs w:val="24"/>
                <w:bdr w:val="none" w:sz="0" w:space="0" w:color="auto" w:frame="1"/>
              </w:rPr>
            </w:pPr>
            <w:r w:rsidRPr="001E440C">
              <w:rPr>
                <w:rFonts w:ascii="仿宋" w:eastAsia="仿宋" w:hAnsi="仿宋" w:hint="eastAsia"/>
                <w:color w:val="333333"/>
                <w:kern w:val="0"/>
                <w:sz w:val="24"/>
                <w:szCs w:val="24"/>
                <w:bdr w:val="none" w:sz="0" w:space="0" w:color="auto" w:frame="1"/>
              </w:rPr>
              <w:t>PGGM</w:t>
            </w:r>
            <w:r>
              <w:rPr>
                <w:rFonts w:ascii="仿宋" w:eastAsia="仿宋" w:hAnsi="仿宋" w:hint="eastAsia"/>
                <w:color w:val="333333"/>
                <w:kern w:val="0"/>
                <w:sz w:val="24"/>
                <w:szCs w:val="24"/>
                <w:bdr w:val="none" w:sz="0" w:space="0" w:color="auto" w:frame="1"/>
              </w:rPr>
              <w:t>集团</w:t>
            </w:r>
            <w:r w:rsidRPr="001E440C">
              <w:rPr>
                <w:rFonts w:ascii="仿宋" w:eastAsia="仿宋" w:hAnsi="仿宋" w:hint="eastAsia"/>
                <w:color w:val="333333"/>
                <w:kern w:val="0"/>
                <w:sz w:val="24"/>
                <w:szCs w:val="24"/>
                <w:bdr w:val="none" w:sz="0" w:space="0" w:color="auto" w:frame="1"/>
              </w:rPr>
              <w:t>为机构客户提供养老基金管理、政策咨询和管理支持等服务。</w:t>
            </w:r>
          </w:p>
        </w:tc>
      </w:tr>
      <w:tr w:rsidR="001E440C" w:rsidRPr="00EF5714" w:rsidTr="00EF5714">
        <w:trPr>
          <w:trHeight w:val="404"/>
        </w:trPr>
        <w:tc>
          <w:tcPr>
            <w:tcW w:w="0" w:type="auto"/>
            <w:vMerge/>
            <w:shd w:val="clear" w:color="auto" w:fill="D9D9D9"/>
            <w:vAlign w:val="center"/>
          </w:tcPr>
          <w:p w:rsidR="001E440C" w:rsidRPr="00EF5714" w:rsidRDefault="001E440C" w:rsidP="00CB00DF">
            <w:pPr>
              <w:spacing w:line="500" w:lineRule="exact"/>
              <w:jc w:val="center"/>
              <w:rPr>
                <w:rFonts w:ascii="仿宋" w:eastAsia="仿宋" w:hAnsi="仿宋"/>
                <w:color w:val="333333"/>
                <w:kern w:val="0"/>
                <w:sz w:val="24"/>
                <w:szCs w:val="24"/>
                <w:bdr w:val="none" w:sz="0" w:space="0" w:color="auto" w:frame="1"/>
              </w:rPr>
            </w:pPr>
          </w:p>
        </w:tc>
        <w:tc>
          <w:tcPr>
            <w:tcW w:w="0" w:type="auto"/>
          </w:tcPr>
          <w:p w:rsidR="001E440C" w:rsidRDefault="001E440C" w:rsidP="00FA4A59">
            <w:pPr>
              <w:spacing w:line="500" w:lineRule="exact"/>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3、</w:t>
            </w:r>
            <w:r w:rsidRPr="001E440C">
              <w:rPr>
                <w:rFonts w:ascii="仿宋" w:eastAsia="仿宋" w:hAnsi="仿宋" w:hint="eastAsia"/>
                <w:color w:val="333333"/>
                <w:kern w:val="0"/>
                <w:sz w:val="24"/>
                <w:szCs w:val="24"/>
                <w:bdr w:val="none" w:sz="0" w:space="0" w:color="auto" w:frame="1"/>
              </w:rPr>
              <w:t>杰纳西及怀俄明澳洲控股有限合伙</w:t>
            </w:r>
            <w:r>
              <w:rPr>
                <w:rFonts w:ascii="仿宋" w:eastAsia="仿宋" w:hAnsi="仿宋" w:hint="eastAsia"/>
                <w:color w:val="333333"/>
                <w:kern w:val="0"/>
                <w:sz w:val="24"/>
                <w:szCs w:val="24"/>
                <w:bdr w:val="none" w:sz="0" w:space="0" w:color="auto" w:frame="1"/>
              </w:rPr>
              <w:lastRenderedPageBreak/>
              <w:t>（“</w:t>
            </w:r>
            <w:r w:rsidRPr="00932E87">
              <w:rPr>
                <w:rFonts w:ascii="仿宋" w:eastAsia="仿宋" w:hAnsi="仿宋" w:hint="eastAsia"/>
                <w:b/>
                <w:color w:val="333333"/>
                <w:kern w:val="0"/>
                <w:sz w:val="24"/>
                <w:szCs w:val="24"/>
                <w:bdr w:val="none" w:sz="0" w:space="0" w:color="auto" w:frame="1"/>
              </w:rPr>
              <w:t>G</w:t>
            </w:r>
            <w:r w:rsidRPr="00932E87">
              <w:rPr>
                <w:rFonts w:ascii="仿宋" w:eastAsia="仿宋" w:hAnsi="仿宋"/>
                <w:b/>
                <w:color w:val="333333"/>
                <w:kern w:val="0"/>
                <w:sz w:val="24"/>
                <w:szCs w:val="24"/>
                <w:bdr w:val="none" w:sz="0" w:space="0" w:color="auto" w:frame="1"/>
              </w:rPr>
              <w:t>WA</w:t>
            </w:r>
            <w:r>
              <w:rPr>
                <w:rFonts w:ascii="仿宋" w:eastAsia="仿宋" w:hAnsi="仿宋" w:hint="eastAsia"/>
                <w:color w:val="333333"/>
                <w:kern w:val="0"/>
                <w:sz w:val="24"/>
                <w:szCs w:val="24"/>
                <w:bdr w:val="none" w:sz="0" w:space="0" w:color="auto" w:frame="1"/>
              </w:rPr>
              <w:t>”）</w:t>
            </w:r>
          </w:p>
        </w:tc>
        <w:tc>
          <w:tcPr>
            <w:tcW w:w="0" w:type="auto"/>
          </w:tcPr>
          <w:p w:rsidR="001E440C" w:rsidRPr="001E440C" w:rsidRDefault="001E440C" w:rsidP="00EF5714">
            <w:pPr>
              <w:spacing w:line="500" w:lineRule="exact"/>
              <w:rPr>
                <w:rFonts w:ascii="仿宋" w:eastAsia="仿宋" w:hAnsi="仿宋"/>
                <w:color w:val="333333"/>
                <w:kern w:val="0"/>
                <w:sz w:val="24"/>
                <w:szCs w:val="24"/>
                <w:bdr w:val="none" w:sz="0" w:space="0" w:color="auto" w:frame="1"/>
              </w:rPr>
            </w:pPr>
            <w:r w:rsidRPr="001E440C">
              <w:rPr>
                <w:rFonts w:ascii="仿宋" w:eastAsia="仿宋" w:hAnsi="仿宋" w:hint="eastAsia"/>
                <w:color w:val="333333"/>
                <w:kern w:val="0"/>
                <w:sz w:val="24"/>
                <w:szCs w:val="24"/>
                <w:bdr w:val="none" w:sz="0" w:space="0" w:color="auto" w:frame="1"/>
              </w:rPr>
              <w:lastRenderedPageBreak/>
              <w:t>作为澳大利亚六大州（塔斯马尼亚州除外）经认可的铁路服务提供商，GWA每周六天在阿德</w:t>
            </w:r>
            <w:r w:rsidRPr="001E440C">
              <w:rPr>
                <w:rFonts w:ascii="仿宋" w:eastAsia="仿宋" w:hAnsi="仿宋" w:hint="eastAsia"/>
                <w:color w:val="333333"/>
                <w:kern w:val="0"/>
                <w:sz w:val="24"/>
                <w:szCs w:val="24"/>
                <w:bdr w:val="none" w:sz="0" w:space="0" w:color="auto" w:frame="1"/>
              </w:rPr>
              <w:lastRenderedPageBreak/>
              <w:t>莱德至达尔文走廊提供多式联运服务，并提供包括谷物、钢铁和矿物在内的大宗商品的州内运输服务，且在新南威尔士州提供每年约4000万吨的煤炭运输服务。GWA并不在澳大利亚境外从事任何业务。</w:t>
            </w:r>
          </w:p>
        </w:tc>
      </w:tr>
      <w:tr w:rsidR="00CB00DF" w:rsidRPr="00EF5714" w:rsidTr="00EF5714">
        <w:trPr>
          <w:trHeight w:val="279"/>
        </w:trPr>
        <w:tc>
          <w:tcPr>
            <w:tcW w:w="0" w:type="auto"/>
            <w:vMerge w:val="restart"/>
            <w:shd w:val="clear" w:color="auto" w:fill="D9D9D9"/>
            <w:vAlign w:val="center"/>
          </w:tcPr>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lastRenderedPageBreak/>
              <w:t>简易案件理由（可以单选，也可以多选）</w:t>
            </w:r>
          </w:p>
        </w:tc>
        <w:tc>
          <w:tcPr>
            <w:tcW w:w="0" w:type="auto"/>
            <w:gridSpan w:val="2"/>
          </w:tcPr>
          <w:p w:rsidR="00CB00DF" w:rsidRPr="00EF5714" w:rsidRDefault="00D74FCB" w:rsidP="006908A4">
            <w:pPr>
              <w:spacing w:line="500" w:lineRule="exact"/>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w:t>
            </w:r>
            <w:r w:rsidR="00CB00DF" w:rsidRPr="00EF5714">
              <w:rPr>
                <w:rFonts w:ascii="仿宋" w:eastAsia="仿宋" w:hAnsi="仿宋"/>
                <w:color w:val="333333"/>
                <w:kern w:val="0"/>
                <w:sz w:val="24"/>
                <w:szCs w:val="24"/>
                <w:bdr w:val="none" w:sz="0" w:space="0" w:color="auto" w:frame="1"/>
              </w:rPr>
              <w:t>1.在同一相关市场，所有参与集中的经营者所占市场份额之和小于15%。</w:t>
            </w:r>
          </w:p>
        </w:tc>
      </w:tr>
      <w:tr w:rsidR="00CB00DF" w:rsidRPr="00EF5714" w:rsidTr="00EF5714">
        <w:trPr>
          <w:trHeight w:val="330"/>
        </w:trPr>
        <w:tc>
          <w:tcPr>
            <w:tcW w:w="0" w:type="auto"/>
            <w:vMerge/>
            <w:shd w:val="clear" w:color="auto" w:fill="D9D9D9"/>
            <w:vAlign w:val="center"/>
          </w:tcPr>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p>
        </w:tc>
        <w:tc>
          <w:tcPr>
            <w:tcW w:w="0" w:type="auto"/>
            <w:gridSpan w:val="2"/>
          </w:tcPr>
          <w:p w:rsidR="00CB00DF" w:rsidRPr="00EF5714" w:rsidRDefault="001E440C" w:rsidP="006908A4">
            <w:pPr>
              <w:spacing w:line="500" w:lineRule="exact"/>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w:t>
            </w:r>
            <w:r w:rsidR="00CB00DF" w:rsidRPr="00EF5714">
              <w:rPr>
                <w:rFonts w:ascii="仿宋" w:eastAsia="仿宋" w:hAnsi="仿宋"/>
                <w:color w:val="333333"/>
                <w:kern w:val="0"/>
                <w:sz w:val="24"/>
                <w:szCs w:val="24"/>
                <w:bdr w:val="none" w:sz="0" w:space="0" w:color="auto" w:frame="1"/>
              </w:rPr>
              <w:t>2.存在上下游关系的参与集中的经营者，在上下游市场所占的市场份额均小于25%。</w:t>
            </w:r>
          </w:p>
        </w:tc>
      </w:tr>
      <w:tr w:rsidR="00CB00DF" w:rsidRPr="00EF5714" w:rsidTr="00EF5714">
        <w:trPr>
          <w:trHeight w:val="285"/>
        </w:trPr>
        <w:tc>
          <w:tcPr>
            <w:tcW w:w="0" w:type="auto"/>
            <w:vMerge/>
            <w:shd w:val="clear" w:color="auto" w:fill="D9D9D9"/>
            <w:vAlign w:val="center"/>
          </w:tcPr>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p>
        </w:tc>
        <w:tc>
          <w:tcPr>
            <w:tcW w:w="0" w:type="auto"/>
            <w:gridSpan w:val="2"/>
          </w:tcPr>
          <w:p w:rsidR="00CB00DF" w:rsidRPr="00EF5714" w:rsidRDefault="00CB00DF" w:rsidP="006908A4">
            <w:pPr>
              <w:spacing w:line="500" w:lineRule="exact"/>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□3.不在同一相关市场、也不存在上下游关系的参与集中的经营者，在与交易有关的每个市场所占的份额均小于25%。</w:t>
            </w:r>
          </w:p>
        </w:tc>
      </w:tr>
      <w:tr w:rsidR="00CB00DF" w:rsidRPr="00EF5714" w:rsidTr="00EF5714">
        <w:trPr>
          <w:trHeight w:val="870"/>
        </w:trPr>
        <w:tc>
          <w:tcPr>
            <w:tcW w:w="0" w:type="auto"/>
            <w:vMerge/>
            <w:shd w:val="clear" w:color="auto" w:fill="D9D9D9"/>
            <w:vAlign w:val="center"/>
          </w:tcPr>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p>
        </w:tc>
        <w:tc>
          <w:tcPr>
            <w:tcW w:w="0" w:type="auto"/>
            <w:gridSpan w:val="2"/>
          </w:tcPr>
          <w:p w:rsidR="00CB00DF" w:rsidRPr="00EF5714" w:rsidRDefault="00CB00DF" w:rsidP="006908A4">
            <w:pPr>
              <w:spacing w:line="500" w:lineRule="exact"/>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□4.参与集中的经营者在中国境外设立合营企业，合营企业不在中国境内从事经济活动。</w:t>
            </w:r>
          </w:p>
        </w:tc>
      </w:tr>
      <w:tr w:rsidR="00CB00DF" w:rsidRPr="00EF5714" w:rsidTr="00EF5714">
        <w:trPr>
          <w:trHeight w:val="264"/>
        </w:trPr>
        <w:tc>
          <w:tcPr>
            <w:tcW w:w="0" w:type="auto"/>
            <w:vMerge/>
            <w:shd w:val="clear" w:color="auto" w:fill="D9D9D9"/>
            <w:vAlign w:val="center"/>
          </w:tcPr>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p>
        </w:tc>
        <w:tc>
          <w:tcPr>
            <w:tcW w:w="0" w:type="auto"/>
            <w:gridSpan w:val="2"/>
          </w:tcPr>
          <w:p w:rsidR="00CB00DF" w:rsidRPr="00EF5714" w:rsidRDefault="001E440C" w:rsidP="006908A4">
            <w:pPr>
              <w:spacing w:line="500" w:lineRule="exact"/>
              <w:rPr>
                <w:rFonts w:ascii="仿宋" w:eastAsia="仿宋" w:hAnsi="仿宋"/>
                <w:color w:val="333333"/>
                <w:kern w:val="0"/>
                <w:sz w:val="24"/>
                <w:szCs w:val="24"/>
                <w:bdr w:val="none" w:sz="0" w:space="0" w:color="auto" w:frame="1"/>
              </w:rPr>
            </w:pPr>
            <w:r w:rsidRPr="00E84485">
              <w:rPr>
                <w:rFonts w:ascii="仿宋" w:eastAsia="仿宋" w:hAnsi="仿宋" w:hint="eastAsia"/>
                <w:color w:val="333333"/>
                <w:kern w:val="0"/>
                <w:sz w:val="24"/>
                <w:szCs w:val="24"/>
                <w:bdr w:val="none" w:sz="0" w:space="0" w:color="auto" w:frame="1"/>
              </w:rPr>
              <w:sym w:font="Wingdings" w:char="F0FE"/>
            </w:r>
            <w:r w:rsidR="00CB00DF" w:rsidRPr="00EF5714">
              <w:rPr>
                <w:rFonts w:ascii="仿宋" w:eastAsia="仿宋" w:hAnsi="仿宋"/>
                <w:color w:val="333333"/>
                <w:kern w:val="0"/>
                <w:sz w:val="24"/>
                <w:szCs w:val="24"/>
                <w:bdr w:val="none" w:sz="0" w:space="0" w:color="auto" w:frame="1"/>
              </w:rPr>
              <w:t>5.参与集中的经营者收购境外企业股权或资产的，该境外企业不在中国境内从事经济活动。</w:t>
            </w:r>
          </w:p>
        </w:tc>
      </w:tr>
      <w:tr w:rsidR="00CB00DF" w:rsidRPr="00EF5714" w:rsidTr="00EF5714">
        <w:trPr>
          <w:trHeight w:val="345"/>
        </w:trPr>
        <w:tc>
          <w:tcPr>
            <w:tcW w:w="0" w:type="auto"/>
            <w:vMerge/>
            <w:shd w:val="clear" w:color="auto" w:fill="D9D9D9"/>
            <w:vAlign w:val="center"/>
          </w:tcPr>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p>
        </w:tc>
        <w:tc>
          <w:tcPr>
            <w:tcW w:w="0" w:type="auto"/>
            <w:gridSpan w:val="2"/>
          </w:tcPr>
          <w:p w:rsidR="00CB00DF" w:rsidRPr="00EF5714" w:rsidRDefault="001E440C" w:rsidP="006908A4">
            <w:pPr>
              <w:spacing w:line="500" w:lineRule="exact"/>
              <w:rPr>
                <w:rFonts w:ascii="仿宋" w:eastAsia="仿宋" w:hAnsi="仿宋"/>
                <w:color w:val="333333"/>
                <w:kern w:val="0"/>
                <w:sz w:val="24"/>
                <w:szCs w:val="24"/>
                <w:bdr w:val="none" w:sz="0" w:space="0" w:color="auto" w:frame="1"/>
              </w:rPr>
            </w:pPr>
            <w:r w:rsidRPr="00E84485">
              <w:rPr>
                <w:rFonts w:ascii="仿宋" w:eastAsia="仿宋" w:hAnsi="仿宋" w:hint="eastAsia"/>
                <w:color w:val="333333"/>
                <w:kern w:val="0"/>
                <w:sz w:val="24"/>
                <w:szCs w:val="24"/>
                <w:bdr w:val="none" w:sz="0" w:space="0" w:color="auto" w:frame="1"/>
              </w:rPr>
              <w:sym w:font="Wingdings" w:char="F0FE"/>
            </w:r>
            <w:r w:rsidR="00CB00DF" w:rsidRPr="00EF5714">
              <w:rPr>
                <w:rFonts w:ascii="仿宋" w:eastAsia="仿宋" w:hAnsi="仿宋"/>
                <w:color w:val="333333"/>
                <w:kern w:val="0"/>
                <w:sz w:val="24"/>
                <w:szCs w:val="24"/>
                <w:bdr w:val="none" w:sz="0" w:space="0" w:color="auto" w:frame="1"/>
              </w:rPr>
              <w:t>6.由两个以上的经营者共同控制的合营企业，通过集中被其中一个或一个以上经营者控制。</w:t>
            </w:r>
          </w:p>
        </w:tc>
      </w:tr>
      <w:tr w:rsidR="00CB00DF" w:rsidRPr="00EF5714" w:rsidTr="00EF5714">
        <w:tc>
          <w:tcPr>
            <w:tcW w:w="0" w:type="auto"/>
            <w:shd w:val="clear" w:color="auto" w:fill="D9D9D9"/>
            <w:vAlign w:val="center"/>
          </w:tcPr>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备注</w:t>
            </w:r>
          </w:p>
        </w:tc>
        <w:tc>
          <w:tcPr>
            <w:tcW w:w="0" w:type="auto"/>
            <w:gridSpan w:val="2"/>
          </w:tcPr>
          <w:p w:rsidR="00156ECE" w:rsidRPr="001E440C" w:rsidRDefault="001E440C" w:rsidP="001E440C">
            <w:pPr>
              <w:spacing w:line="500" w:lineRule="exact"/>
              <w:rPr>
                <w:rFonts w:ascii="仿宋" w:eastAsia="仿宋" w:hAnsi="仿宋"/>
                <w:color w:val="333333"/>
                <w:kern w:val="0"/>
                <w:sz w:val="24"/>
                <w:szCs w:val="24"/>
                <w:bdr w:val="none" w:sz="0" w:space="0" w:color="auto" w:frame="1"/>
              </w:rPr>
            </w:pPr>
            <w:r w:rsidRPr="001E440C">
              <w:rPr>
                <w:rFonts w:ascii="仿宋" w:eastAsia="仿宋" w:hAnsi="仿宋"/>
                <w:color w:val="333333"/>
                <w:kern w:val="0"/>
                <w:sz w:val="24"/>
                <w:szCs w:val="24"/>
                <w:bdr w:val="none" w:sz="0" w:space="0" w:color="auto" w:frame="1"/>
              </w:rPr>
              <w:t>不适用</w:t>
            </w:r>
          </w:p>
        </w:tc>
      </w:tr>
    </w:tbl>
    <w:p w:rsidR="000F5E24" w:rsidRPr="00CB00DF" w:rsidRDefault="00DC7AEA"/>
    <w:sectPr w:rsidR="000F5E24" w:rsidRPr="00CB00DF" w:rsidSect="00ED21B1">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7AEA" w:rsidRDefault="00DC7AEA" w:rsidP="00EF5714">
      <w:r>
        <w:separator/>
      </w:r>
    </w:p>
  </w:endnote>
  <w:endnote w:type="continuationSeparator" w:id="0">
    <w:p w:rsidR="00DC7AEA" w:rsidRDefault="00DC7AEA" w:rsidP="00EF5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70C1" w:rsidRDefault="00E670C1">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46222184"/>
      <w:docPartObj>
        <w:docPartGallery w:val="Page Numbers (Bottom of Page)"/>
        <w:docPartUnique/>
      </w:docPartObj>
    </w:sdtPr>
    <w:sdtEndPr>
      <w:rPr>
        <w:rFonts w:ascii="Times New Roman" w:hAnsi="Times New Roman"/>
      </w:rPr>
    </w:sdtEndPr>
    <w:sdtContent>
      <w:sdt>
        <w:sdtPr>
          <w:id w:val="1728636285"/>
          <w:docPartObj>
            <w:docPartGallery w:val="Page Numbers (Top of Page)"/>
            <w:docPartUnique/>
          </w:docPartObj>
        </w:sdtPr>
        <w:sdtEndPr>
          <w:rPr>
            <w:rFonts w:ascii="Times New Roman" w:hAnsi="Times New Roman"/>
          </w:rPr>
        </w:sdtEndPr>
        <w:sdtContent>
          <w:bookmarkStart w:id="0" w:name="_GoBack" w:displacedByCustomXml="prev"/>
          <w:p w:rsidR="00C7337C" w:rsidRPr="00E670C1" w:rsidRDefault="00C7337C">
            <w:pPr>
              <w:pStyle w:val="a4"/>
              <w:jc w:val="center"/>
              <w:rPr>
                <w:rFonts w:ascii="Times New Roman" w:hAnsi="Times New Roman"/>
              </w:rPr>
            </w:pPr>
            <w:r w:rsidRPr="00E670C1">
              <w:rPr>
                <w:rFonts w:ascii="Times New Roman" w:hAnsi="Times New Roman"/>
                <w:lang w:val="zh-CN"/>
              </w:rPr>
              <w:t xml:space="preserve"> </w:t>
            </w:r>
            <w:r w:rsidRPr="00E670C1">
              <w:rPr>
                <w:rFonts w:ascii="Times New Roman" w:hAnsi="Times New Roman"/>
                <w:b/>
                <w:bCs/>
                <w:sz w:val="24"/>
                <w:szCs w:val="24"/>
              </w:rPr>
              <w:fldChar w:fldCharType="begin"/>
            </w:r>
            <w:r w:rsidRPr="00E670C1">
              <w:rPr>
                <w:rFonts w:ascii="Times New Roman" w:hAnsi="Times New Roman"/>
                <w:b/>
                <w:bCs/>
              </w:rPr>
              <w:instrText>PAGE</w:instrText>
            </w:r>
            <w:r w:rsidRPr="00E670C1">
              <w:rPr>
                <w:rFonts w:ascii="Times New Roman" w:hAnsi="Times New Roman"/>
                <w:b/>
                <w:bCs/>
                <w:sz w:val="24"/>
                <w:szCs w:val="24"/>
              </w:rPr>
              <w:fldChar w:fldCharType="separate"/>
            </w:r>
            <w:r w:rsidR="00E670C1">
              <w:rPr>
                <w:rFonts w:ascii="Times New Roman" w:hAnsi="Times New Roman"/>
                <w:b/>
                <w:bCs/>
                <w:noProof/>
              </w:rPr>
              <w:t>1</w:t>
            </w:r>
            <w:r w:rsidRPr="00E670C1">
              <w:rPr>
                <w:rFonts w:ascii="Times New Roman" w:hAnsi="Times New Roman"/>
                <w:b/>
                <w:bCs/>
                <w:sz w:val="24"/>
                <w:szCs w:val="24"/>
              </w:rPr>
              <w:fldChar w:fldCharType="end"/>
            </w:r>
            <w:r w:rsidRPr="00E670C1">
              <w:rPr>
                <w:rFonts w:ascii="Times New Roman" w:hAnsi="Times New Roman"/>
                <w:lang w:val="zh-CN"/>
              </w:rPr>
              <w:t xml:space="preserve"> / </w:t>
            </w:r>
            <w:r w:rsidRPr="00E670C1">
              <w:rPr>
                <w:rFonts w:ascii="Times New Roman" w:hAnsi="Times New Roman"/>
                <w:b/>
                <w:bCs/>
                <w:sz w:val="24"/>
                <w:szCs w:val="24"/>
              </w:rPr>
              <w:fldChar w:fldCharType="begin"/>
            </w:r>
            <w:r w:rsidRPr="00E670C1">
              <w:rPr>
                <w:rFonts w:ascii="Times New Roman" w:hAnsi="Times New Roman"/>
                <w:b/>
                <w:bCs/>
              </w:rPr>
              <w:instrText>NUMPAGES</w:instrText>
            </w:r>
            <w:r w:rsidRPr="00E670C1">
              <w:rPr>
                <w:rFonts w:ascii="Times New Roman" w:hAnsi="Times New Roman"/>
                <w:b/>
                <w:bCs/>
                <w:sz w:val="24"/>
                <w:szCs w:val="24"/>
              </w:rPr>
              <w:fldChar w:fldCharType="separate"/>
            </w:r>
            <w:r w:rsidR="00E670C1">
              <w:rPr>
                <w:rFonts w:ascii="Times New Roman" w:hAnsi="Times New Roman"/>
                <w:b/>
                <w:bCs/>
                <w:noProof/>
              </w:rPr>
              <w:t>2</w:t>
            </w:r>
            <w:r w:rsidRPr="00E670C1">
              <w:rPr>
                <w:rFonts w:ascii="Times New Roman" w:hAnsi="Times New Roman"/>
                <w:b/>
                <w:bCs/>
                <w:sz w:val="24"/>
                <w:szCs w:val="24"/>
              </w:rPr>
              <w:fldChar w:fldCharType="end"/>
            </w:r>
          </w:p>
        </w:sdtContent>
      </w:sdt>
    </w:sdtContent>
  </w:sdt>
  <w:bookmarkEnd w:id="0"/>
  <w:p w:rsidR="00C7337C" w:rsidRDefault="00C7337C">
    <w:pPr>
      <w:pStyle w:val="a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70C1" w:rsidRDefault="00E670C1">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7AEA" w:rsidRDefault="00DC7AEA" w:rsidP="00EF5714">
      <w:r>
        <w:separator/>
      </w:r>
    </w:p>
  </w:footnote>
  <w:footnote w:type="continuationSeparator" w:id="0">
    <w:p w:rsidR="00DC7AEA" w:rsidRDefault="00DC7AEA" w:rsidP="00EF57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70C1" w:rsidRDefault="00E670C1">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70C1" w:rsidRDefault="00E670C1">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70C1" w:rsidRDefault="00E670C1">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AE74166"/>
    <w:multiLevelType w:val="hybridMultilevel"/>
    <w:tmpl w:val="3A145DAA"/>
    <w:lvl w:ilvl="0" w:tplc="31B08B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71AFB"/>
    <w:rsid w:val="000D7EBA"/>
    <w:rsid w:val="001164CD"/>
    <w:rsid w:val="00155717"/>
    <w:rsid w:val="00156ECE"/>
    <w:rsid w:val="001837A3"/>
    <w:rsid w:val="001E440C"/>
    <w:rsid w:val="00244095"/>
    <w:rsid w:val="00254037"/>
    <w:rsid w:val="003C0AEB"/>
    <w:rsid w:val="003D5370"/>
    <w:rsid w:val="004F7688"/>
    <w:rsid w:val="005209ED"/>
    <w:rsid w:val="00532A6A"/>
    <w:rsid w:val="005828AF"/>
    <w:rsid w:val="006467D8"/>
    <w:rsid w:val="006A531B"/>
    <w:rsid w:val="006F7693"/>
    <w:rsid w:val="00710140"/>
    <w:rsid w:val="007F2275"/>
    <w:rsid w:val="00871770"/>
    <w:rsid w:val="00915F0F"/>
    <w:rsid w:val="00932E87"/>
    <w:rsid w:val="009532DF"/>
    <w:rsid w:val="00997019"/>
    <w:rsid w:val="009A5029"/>
    <w:rsid w:val="009D38D5"/>
    <w:rsid w:val="00A53F26"/>
    <w:rsid w:val="00AA0CC5"/>
    <w:rsid w:val="00B16AFE"/>
    <w:rsid w:val="00B65DD5"/>
    <w:rsid w:val="00BD10B6"/>
    <w:rsid w:val="00C07076"/>
    <w:rsid w:val="00C10314"/>
    <w:rsid w:val="00C36A99"/>
    <w:rsid w:val="00C7337C"/>
    <w:rsid w:val="00CB00DF"/>
    <w:rsid w:val="00D73C72"/>
    <w:rsid w:val="00D74FCB"/>
    <w:rsid w:val="00DC7AEA"/>
    <w:rsid w:val="00E0592B"/>
    <w:rsid w:val="00E31738"/>
    <w:rsid w:val="00E670C1"/>
    <w:rsid w:val="00E84485"/>
    <w:rsid w:val="00E86786"/>
    <w:rsid w:val="00EC6B24"/>
    <w:rsid w:val="00ED2F80"/>
    <w:rsid w:val="00EF5714"/>
    <w:rsid w:val="00F1624E"/>
    <w:rsid w:val="00F32F8A"/>
    <w:rsid w:val="00F810AA"/>
    <w:rsid w:val="00FA4A59"/>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4E0A73E-6DA4-46D8-BD5A-EA1F12C24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F571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F5714"/>
    <w:rPr>
      <w:rFonts w:ascii="Calibri" w:eastAsia="宋体" w:hAnsi="Calibri" w:cs="Times New Roman"/>
      <w:sz w:val="18"/>
      <w:szCs w:val="18"/>
    </w:rPr>
  </w:style>
  <w:style w:type="paragraph" w:styleId="a4">
    <w:name w:val="footer"/>
    <w:basedOn w:val="a"/>
    <w:link w:val="Char0"/>
    <w:uiPriority w:val="99"/>
    <w:unhideWhenUsed/>
    <w:rsid w:val="00EF5714"/>
    <w:pPr>
      <w:tabs>
        <w:tab w:val="center" w:pos="4153"/>
        <w:tab w:val="right" w:pos="8306"/>
      </w:tabs>
      <w:snapToGrid w:val="0"/>
      <w:jc w:val="left"/>
    </w:pPr>
    <w:rPr>
      <w:sz w:val="18"/>
      <w:szCs w:val="18"/>
    </w:rPr>
  </w:style>
  <w:style w:type="character" w:customStyle="1" w:styleId="Char0">
    <w:name w:val="页脚 Char"/>
    <w:basedOn w:val="a0"/>
    <w:link w:val="a4"/>
    <w:uiPriority w:val="99"/>
    <w:rsid w:val="00EF5714"/>
    <w:rPr>
      <w:rFonts w:ascii="Calibri" w:eastAsia="宋体" w:hAnsi="Calibri" w:cs="Times New Roman"/>
      <w:sz w:val="18"/>
      <w:szCs w:val="18"/>
    </w:rPr>
  </w:style>
  <w:style w:type="paragraph" w:styleId="a5">
    <w:name w:val="List Paragraph"/>
    <w:basedOn w:val="a"/>
    <w:uiPriority w:val="34"/>
    <w:qFormat/>
    <w:rsid w:val="00E84485"/>
    <w:pPr>
      <w:ind w:firstLineChars="200" w:firstLine="420"/>
    </w:pPr>
  </w:style>
  <w:style w:type="paragraph" w:styleId="a6">
    <w:name w:val="footnote text"/>
    <w:basedOn w:val="a"/>
    <w:link w:val="Char1"/>
    <w:uiPriority w:val="99"/>
    <w:semiHidden/>
    <w:unhideWhenUsed/>
    <w:rsid w:val="00D74FCB"/>
    <w:pPr>
      <w:snapToGrid w:val="0"/>
      <w:jc w:val="left"/>
    </w:pPr>
    <w:rPr>
      <w:rFonts w:asciiTheme="minorHAnsi" w:eastAsiaTheme="minorEastAsia" w:hAnsiTheme="minorHAnsi" w:cstheme="minorBidi"/>
      <w:sz w:val="18"/>
      <w:szCs w:val="18"/>
    </w:rPr>
  </w:style>
  <w:style w:type="character" w:customStyle="1" w:styleId="Char1">
    <w:name w:val="脚注文本 Char"/>
    <w:basedOn w:val="a0"/>
    <w:link w:val="a6"/>
    <w:uiPriority w:val="99"/>
    <w:semiHidden/>
    <w:rsid w:val="00D74FCB"/>
    <w:rPr>
      <w:sz w:val="18"/>
      <w:szCs w:val="18"/>
    </w:rPr>
  </w:style>
  <w:style w:type="character" w:styleId="a7">
    <w:name w:val="footnote reference"/>
    <w:basedOn w:val="a0"/>
    <w:uiPriority w:val="99"/>
    <w:semiHidden/>
    <w:unhideWhenUsed/>
    <w:rsid w:val="00D74FCB"/>
    <w:rPr>
      <w:vertAlign w:val="superscript"/>
    </w:rPr>
  </w:style>
  <w:style w:type="paragraph" w:styleId="a8">
    <w:name w:val="Balloon Text"/>
    <w:basedOn w:val="a"/>
    <w:link w:val="Char2"/>
    <w:uiPriority w:val="99"/>
    <w:semiHidden/>
    <w:unhideWhenUsed/>
    <w:rsid w:val="00871770"/>
    <w:rPr>
      <w:sz w:val="18"/>
      <w:szCs w:val="18"/>
    </w:rPr>
  </w:style>
  <w:style w:type="character" w:customStyle="1" w:styleId="Char2">
    <w:name w:val="批注框文本 Char"/>
    <w:basedOn w:val="a0"/>
    <w:link w:val="a8"/>
    <w:uiPriority w:val="99"/>
    <w:semiHidden/>
    <w:rsid w:val="00871770"/>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155</Words>
  <Characters>889</Characters>
  <Application>Microsoft Office Word</Application>
  <DocSecurity>0</DocSecurity>
  <Lines>7</Lines>
  <Paragraphs>2</Paragraphs>
  <ScaleCrop>false</ScaleCrop>
  <Company/>
  <LinksUpToDate>false</LinksUpToDate>
  <CharactersWithSpaces>1042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JunHe LLP</dc:creator>
  <cp:lastModifiedBy>JunHe LLP</cp:lastModifiedBy>
  <cp:revision>5</cp:revision>
  <dcterms:created xsi:type="dcterms:W3CDTF">2019-09-18T03:54:00Z</dcterms:created>
  <dcterms:modified xsi:type="dcterms:W3CDTF">2019-09-18T04:25:00Z</dcterms:modified>
</cp:coreProperties>
</file>