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00DF" w:rsidRDefault="00CB00DF" w:rsidP="00EF5714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:rsidR="00EF5714" w:rsidRPr="00EF5714" w:rsidRDefault="00EF5714" w:rsidP="00EF5714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271"/>
        <w:gridCol w:w="1418"/>
        <w:gridCol w:w="5607"/>
      </w:tblGrid>
      <w:tr w:rsidR="00CB00DF" w:rsidRPr="00EF5714" w:rsidTr="006B43FA">
        <w:tc>
          <w:tcPr>
            <w:tcW w:w="1271" w:type="dxa"/>
            <w:shd w:val="clear" w:color="auto" w:fill="D9D9D9"/>
            <w:vAlign w:val="center"/>
          </w:tcPr>
          <w:p w:rsidR="00CB00DF" w:rsidRPr="00EF5714" w:rsidRDefault="00CB00DF" w:rsidP="00CB00DF">
            <w:pPr>
              <w:spacing w:line="500" w:lineRule="exact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F5714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7025" w:type="dxa"/>
            <w:gridSpan w:val="2"/>
          </w:tcPr>
          <w:p w:rsidR="00CB00DF" w:rsidRPr="00EF5714" w:rsidRDefault="00945B2A" w:rsidP="006908A4">
            <w:pPr>
              <w:spacing w:line="500" w:lineRule="exact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45B2A">
              <w:rPr>
                <w:rFonts w:ascii="仿宋" w:eastAsia="仿宋" w:hAnsi="仿宋" w:hint="eastAsia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布鲁克菲尔德资产管理公司收购布兰德工业控股公司股权案</w:t>
            </w:r>
          </w:p>
        </w:tc>
      </w:tr>
      <w:tr w:rsidR="00CB00DF" w:rsidRPr="00EF5714" w:rsidTr="006B43FA">
        <w:trPr>
          <w:trHeight w:val="993"/>
        </w:trPr>
        <w:tc>
          <w:tcPr>
            <w:tcW w:w="1271" w:type="dxa"/>
            <w:shd w:val="clear" w:color="auto" w:fill="D9D9D9"/>
            <w:vAlign w:val="center"/>
          </w:tcPr>
          <w:p w:rsidR="00F1624E" w:rsidRPr="00EF5714" w:rsidRDefault="00CB00DF" w:rsidP="00CB00DF">
            <w:pPr>
              <w:spacing w:line="500" w:lineRule="exact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F5714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:rsidR="00CB00DF" w:rsidRPr="00EF5714" w:rsidRDefault="00CB00DF" w:rsidP="00CB00DF">
            <w:pPr>
              <w:spacing w:line="500" w:lineRule="exact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F5714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7025" w:type="dxa"/>
            <w:gridSpan w:val="2"/>
          </w:tcPr>
          <w:p w:rsidR="00AD4DC1" w:rsidRDefault="00945B2A" w:rsidP="00945B2A">
            <w:pPr>
              <w:spacing w:line="500" w:lineRule="exact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</w:pPr>
            <w:r w:rsidRPr="00945B2A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根据2019年9月29日签订的《股份购买协议》，CDR圆心控股有限合伙</w:t>
            </w:r>
            <w:r w:rsidR="006704BF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（</w:t>
            </w:r>
            <w:r w:rsidR="00252B17" w:rsidRPr="00E148E2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克莱顿·</w:t>
            </w:r>
            <w:r w:rsidR="00252B17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杜比利尔及莱斯</w:t>
            </w:r>
            <w:r w:rsidR="007108AA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集团</w:t>
            </w:r>
            <w:r w:rsidR="00252B17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的关联公司</w:t>
            </w:r>
            <w:r w:rsidR="006704BF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）拟</w:t>
            </w:r>
            <w:r w:rsidRPr="00945B2A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将其目前持有的布兰德工业控股公司</w:t>
            </w:r>
            <w:r w:rsidR="00AD4DC1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（“</w:t>
            </w:r>
            <w:r w:rsidR="00441F0E" w:rsidRPr="00441F0E">
              <w:rPr>
                <w:rFonts w:ascii="仿宋" w:eastAsia="仿宋" w:hAnsi="仿宋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布兰德工业</w:t>
            </w:r>
            <w:r w:rsidR="00AD4DC1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”）的权益分别出售给</w:t>
            </w:r>
            <w:r w:rsidR="00AD4DC1" w:rsidRPr="00945B2A">
              <w:rPr>
                <w:rFonts w:ascii="仿宋" w:eastAsia="仿宋" w:hAnsi="仿宋" w:hint="eastAsia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布鲁克菲尔德资产管理公司</w:t>
            </w:r>
            <w:r w:rsidR="00AD4DC1">
              <w:rPr>
                <w:rFonts w:ascii="仿宋" w:eastAsia="仿宋" w:hAnsi="仿宋" w:hint="eastAsia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="00AD4DC1" w:rsidRPr="00AD4DC1">
              <w:rPr>
                <w:rFonts w:ascii="仿宋" w:eastAsia="仿宋" w:hAnsi="仿宋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布鲁克菲尔德</w:t>
            </w:r>
            <w:r w:rsidR="00AD4DC1">
              <w:rPr>
                <w:rFonts w:ascii="仿宋" w:eastAsia="仿宋" w:hAnsi="仿宋" w:hint="eastAsia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="00441F0E">
              <w:rPr>
                <w:rFonts w:ascii="仿宋" w:eastAsia="仿宋" w:hAnsi="仿宋" w:hint="eastAsia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所控制的B</w:t>
            </w:r>
            <w:r w:rsidR="00441F0E">
              <w:rPr>
                <w:rFonts w:ascii="仿宋" w:eastAsia="仿宋" w:hAnsi="仿宋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CP收购有限公司</w:t>
            </w:r>
            <w:r w:rsidR="00441F0E">
              <w:rPr>
                <w:rFonts w:ascii="仿宋" w:eastAsia="仿宋" w:hAnsi="仿宋" w:hint="eastAsia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="00441F0E" w:rsidRPr="00441F0E">
              <w:rPr>
                <w:rFonts w:ascii="仿宋" w:eastAsia="仿宋" w:hAnsi="仿宋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B</w:t>
            </w:r>
            <w:r w:rsidR="00441F0E" w:rsidRPr="00441F0E">
              <w:rPr>
                <w:rFonts w:ascii="仿宋" w:eastAsia="仿宋" w:hAnsi="仿宋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CP</w:t>
            </w:r>
            <w:r w:rsidR="00441F0E">
              <w:rPr>
                <w:rFonts w:ascii="仿宋" w:eastAsia="仿宋" w:hAnsi="仿宋" w:hint="eastAsia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="00AD4DC1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和</w:t>
            </w:r>
            <w:r w:rsidR="00AD4DC1" w:rsidRPr="00E148E2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克莱顿·</w:t>
            </w:r>
            <w:r w:rsidR="00AD4DC1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杜比利尔及莱斯</w:t>
            </w:r>
            <w:r w:rsidR="00AD4DC1" w:rsidRPr="00945B2A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第十基金</w:t>
            </w:r>
            <w:r w:rsidR="00AD4DC1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有限合伙（“</w:t>
            </w:r>
            <w:r w:rsidR="00AD4DC1" w:rsidRPr="00AD4DC1">
              <w:rPr>
                <w:rFonts w:ascii="仿宋" w:eastAsia="仿宋" w:hAnsi="仿宋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C</w:t>
            </w:r>
            <w:r w:rsidR="00AD4DC1" w:rsidRPr="00AD4DC1">
              <w:rPr>
                <w:rFonts w:ascii="仿宋" w:eastAsia="仿宋" w:hAnsi="仿宋"/>
                <w:b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D&amp;R第十基金</w:t>
            </w:r>
            <w:r w:rsidR="00AD4DC1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”）（“</w:t>
            </w:r>
            <w:r w:rsidR="00AD4DC1" w:rsidRPr="00AD4DC1">
              <w:rPr>
                <w:rFonts w:ascii="仿宋" w:eastAsia="仿宋" w:hAnsi="仿宋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拟议交易</w:t>
            </w:r>
            <w:r w:rsidR="00AD4DC1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”）。</w:t>
            </w:r>
          </w:p>
          <w:p w:rsidR="00CB00DF" w:rsidRPr="00D16C47" w:rsidRDefault="00945B2A" w:rsidP="00441F0E">
            <w:pPr>
              <w:spacing w:line="500" w:lineRule="exact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45B2A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拟议交易完成后，</w:t>
            </w:r>
            <w:r w:rsidR="00441F0E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布鲁克菲尔德</w:t>
            </w:r>
            <w:r w:rsidRPr="00945B2A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与CD&amp;R第十基金将</w:t>
            </w:r>
            <w:r w:rsidR="00AD4DC1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通过各自的关联公司取得</w:t>
            </w:r>
            <w:r w:rsidRPr="00945B2A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布兰德工业约48%的权益，并将共同控制</w:t>
            </w:r>
            <w:r w:rsidR="00441F0E" w:rsidRPr="00945B2A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布兰德工业</w:t>
            </w:r>
            <w:r w:rsidRPr="00945B2A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。</w:t>
            </w:r>
          </w:p>
        </w:tc>
      </w:tr>
      <w:tr w:rsidR="00D16C47" w:rsidRPr="00EF5714" w:rsidTr="00E148E2">
        <w:trPr>
          <w:trHeight w:val="468"/>
        </w:trPr>
        <w:tc>
          <w:tcPr>
            <w:tcW w:w="1271" w:type="dxa"/>
            <w:vMerge w:val="restart"/>
            <w:shd w:val="clear" w:color="auto" w:fill="D9D9D9"/>
            <w:vAlign w:val="center"/>
          </w:tcPr>
          <w:p w:rsidR="00D16C47" w:rsidRPr="00EF5714" w:rsidRDefault="00D16C47" w:rsidP="00CB00DF">
            <w:pPr>
              <w:spacing w:line="500" w:lineRule="exact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F5714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:rsidR="00D16C47" w:rsidRPr="00EF5714" w:rsidRDefault="00D16C47" w:rsidP="00CB00DF">
            <w:pPr>
              <w:spacing w:line="500" w:lineRule="exact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F5714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418" w:type="dxa"/>
          </w:tcPr>
          <w:p w:rsidR="00D16C47" w:rsidRPr="00EF5714" w:rsidRDefault="00D16C47" w:rsidP="00945B2A">
            <w:pPr>
              <w:spacing w:line="500" w:lineRule="exact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F5714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1、</w:t>
            </w:r>
            <w:r w:rsidR="00945B2A" w:rsidRPr="00945B2A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布鲁克菲尔德</w:t>
            </w:r>
            <w:r w:rsidR="00441F0E" w:rsidRPr="00945B2A">
              <w:rPr>
                <w:rFonts w:ascii="仿宋" w:eastAsia="仿宋" w:hAnsi="仿宋" w:hint="eastAsia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资产管理公司</w:t>
            </w:r>
            <w:bookmarkStart w:id="0" w:name="_GoBack"/>
            <w:bookmarkEnd w:id="0"/>
          </w:p>
        </w:tc>
        <w:tc>
          <w:tcPr>
            <w:tcW w:w="5607" w:type="dxa"/>
          </w:tcPr>
          <w:p w:rsidR="00945B2A" w:rsidRPr="00D16C47" w:rsidRDefault="006B43FA" w:rsidP="00E148E2">
            <w:pPr>
              <w:spacing w:line="500" w:lineRule="exact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</w:pPr>
            <w:r w:rsidRPr="003876E6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布鲁克菲尔德是一家全球资产管理公司，其管理的全球资产主要集中在房地产、基础设施建设、可再生能源和私募股权。</w:t>
            </w:r>
            <w:r w:rsidR="00252B17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</w:t>
            </w:r>
            <w:r w:rsidR="00E148E2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布鲁克菲尔德</w:t>
            </w:r>
            <w:r w:rsidR="00252B17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共同</w:t>
            </w:r>
            <w:r w:rsidR="00E148E2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控制的橡树</w:t>
            </w:r>
            <w:r w:rsidR="00E148E2" w:rsidRPr="003876E6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资本集团有限责任公司</w:t>
            </w:r>
            <w:r w:rsidR="00E148E2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则</w:t>
            </w:r>
            <w:r w:rsidR="00E148E2" w:rsidRPr="00250D6F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投资专注于不良债权、高回报债券、企业债券、可转换证券、不动产和上市公司。</w:t>
            </w:r>
          </w:p>
        </w:tc>
      </w:tr>
      <w:tr w:rsidR="00D16C47" w:rsidRPr="00EF5714" w:rsidTr="00E148E2">
        <w:trPr>
          <w:trHeight w:val="404"/>
        </w:trPr>
        <w:tc>
          <w:tcPr>
            <w:tcW w:w="1271" w:type="dxa"/>
            <w:vMerge/>
            <w:shd w:val="clear" w:color="auto" w:fill="D9D9D9"/>
            <w:vAlign w:val="center"/>
          </w:tcPr>
          <w:p w:rsidR="00D16C47" w:rsidRPr="00EF5714" w:rsidRDefault="00D16C47" w:rsidP="00CB00DF">
            <w:pPr>
              <w:spacing w:line="500" w:lineRule="exact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418" w:type="dxa"/>
          </w:tcPr>
          <w:p w:rsidR="00D16C47" w:rsidRPr="00EF5714" w:rsidRDefault="00E148E2" w:rsidP="00945B2A">
            <w:pPr>
              <w:spacing w:line="500" w:lineRule="exact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148E2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2、</w:t>
            </w:r>
            <w:r w:rsidRPr="00E148E2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克莱顿·</w:t>
            </w:r>
            <w:r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杜比利尔及莱斯第十</w:t>
            </w:r>
            <w:r w:rsidRPr="00E148E2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基金有限合伙</w:t>
            </w:r>
          </w:p>
        </w:tc>
        <w:tc>
          <w:tcPr>
            <w:tcW w:w="5607" w:type="dxa"/>
          </w:tcPr>
          <w:p w:rsidR="00D16C47" w:rsidRPr="00EF5714" w:rsidRDefault="00945B2A" w:rsidP="00E148E2">
            <w:pPr>
              <w:spacing w:line="500" w:lineRule="exact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45B2A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CD&amp;R第十基金是</w:t>
            </w:r>
            <w:r w:rsidR="00252B17" w:rsidRPr="00E148E2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克莱顿·</w:t>
            </w:r>
            <w:r w:rsidR="00252B17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杜比利尔及莱斯集团</w:t>
            </w:r>
            <w:r w:rsidRPr="00945B2A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旗下的私募股权基金。</w:t>
            </w:r>
            <w:r w:rsidR="00252B17" w:rsidRPr="00E148E2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克莱顿·</w:t>
            </w:r>
            <w:r w:rsidR="00252B17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杜比利尔及莱斯</w:t>
            </w:r>
            <w:r w:rsidRPr="00945B2A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是一家总部位于美国的私募股权投资集团，在全球范围内发起、组建管理层收购、战略少数股权投资和其他战略投资。</w:t>
            </w:r>
          </w:p>
        </w:tc>
      </w:tr>
      <w:tr w:rsidR="00CB00DF" w:rsidRPr="00EF5714" w:rsidTr="006B43FA">
        <w:trPr>
          <w:trHeight w:val="279"/>
        </w:trPr>
        <w:tc>
          <w:tcPr>
            <w:tcW w:w="1271" w:type="dxa"/>
            <w:vMerge w:val="restart"/>
            <w:shd w:val="clear" w:color="auto" w:fill="D9D9D9"/>
            <w:vAlign w:val="center"/>
          </w:tcPr>
          <w:p w:rsidR="00CB00DF" w:rsidRPr="00EF5714" w:rsidRDefault="00CB00DF" w:rsidP="00CB00DF">
            <w:pPr>
              <w:spacing w:line="500" w:lineRule="exact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F5714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7025" w:type="dxa"/>
            <w:gridSpan w:val="2"/>
          </w:tcPr>
          <w:p w:rsidR="00CB00DF" w:rsidRPr="00EF5714" w:rsidRDefault="00D74FCB" w:rsidP="006908A4">
            <w:pPr>
              <w:spacing w:line="500" w:lineRule="exact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F5714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EF5714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1.在同一相关市场，所有参与集中的经营者所占市场份额之和小于15%。</w:t>
            </w:r>
          </w:p>
        </w:tc>
      </w:tr>
      <w:tr w:rsidR="00CB00DF" w:rsidRPr="00EF5714" w:rsidTr="006B43FA">
        <w:trPr>
          <w:trHeight w:val="330"/>
        </w:trPr>
        <w:tc>
          <w:tcPr>
            <w:tcW w:w="1271" w:type="dxa"/>
            <w:vMerge/>
            <w:shd w:val="clear" w:color="auto" w:fill="D9D9D9"/>
            <w:vAlign w:val="center"/>
          </w:tcPr>
          <w:p w:rsidR="00CB00DF" w:rsidRPr="00EF5714" w:rsidRDefault="00CB00DF" w:rsidP="00CB00DF">
            <w:pPr>
              <w:spacing w:line="500" w:lineRule="exact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025" w:type="dxa"/>
            <w:gridSpan w:val="2"/>
          </w:tcPr>
          <w:p w:rsidR="00CB00DF" w:rsidRPr="00EF5714" w:rsidRDefault="00EF5D18" w:rsidP="006908A4">
            <w:pPr>
              <w:spacing w:line="500" w:lineRule="exact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F5714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EF5714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2.存在上下游关系的参与集中的经营者，在上下游市场所占的市场份额均小于25%。</w:t>
            </w:r>
          </w:p>
        </w:tc>
      </w:tr>
      <w:tr w:rsidR="00CB00DF" w:rsidRPr="00EF5714" w:rsidTr="006B43FA">
        <w:trPr>
          <w:trHeight w:val="285"/>
        </w:trPr>
        <w:tc>
          <w:tcPr>
            <w:tcW w:w="1271" w:type="dxa"/>
            <w:vMerge/>
            <w:shd w:val="clear" w:color="auto" w:fill="D9D9D9"/>
            <w:vAlign w:val="center"/>
          </w:tcPr>
          <w:p w:rsidR="00CB00DF" w:rsidRPr="00EF5714" w:rsidRDefault="00CB00DF" w:rsidP="00CB00DF">
            <w:pPr>
              <w:spacing w:line="500" w:lineRule="exact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025" w:type="dxa"/>
            <w:gridSpan w:val="2"/>
          </w:tcPr>
          <w:p w:rsidR="00CB00DF" w:rsidRPr="00EF5714" w:rsidRDefault="00945B2A" w:rsidP="006908A4">
            <w:pPr>
              <w:spacing w:line="500" w:lineRule="exact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84485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CB00DF" w:rsidRPr="00EF5714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3.不在同一相关市场、也不存在上下游关系的参与集中的经营</w:t>
            </w:r>
            <w:r w:rsidR="00CB00DF" w:rsidRPr="00EF5714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者，在与交易有关的每个市场所占的份额均小于25%。</w:t>
            </w:r>
          </w:p>
        </w:tc>
      </w:tr>
      <w:tr w:rsidR="00CB00DF" w:rsidRPr="00EF5714" w:rsidTr="006B43FA">
        <w:trPr>
          <w:trHeight w:val="870"/>
        </w:trPr>
        <w:tc>
          <w:tcPr>
            <w:tcW w:w="1271" w:type="dxa"/>
            <w:vMerge/>
            <w:shd w:val="clear" w:color="auto" w:fill="D9D9D9"/>
            <w:vAlign w:val="center"/>
          </w:tcPr>
          <w:p w:rsidR="00CB00DF" w:rsidRPr="00EF5714" w:rsidRDefault="00CB00DF" w:rsidP="00CB00DF">
            <w:pPr>
              <w:spacing w:line="500" w:lineRule="exact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025" w:type="dxa"/>
            <w:gridSpan w:val="2"/>
          </w:tcPr>
          <w:p w:rsidR="00CB00DF" w:rsidRPr="00EF5714" w:rsidRDefault="00CB00DF" w:rsidP="006908A4">
            <w:pPr>
              <w:spacing w:line="500" w:lineRule="exact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F5714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□4.参与集中的经营者在中国境外设立合营企业，合营企业不在中国境内从事经济活动。</w:t>
            </w:r>
          </w:p>
        </w:tc>
      </w:tr>
      <w:tr w:rsidR="00CB00DF" w:rsidRPr="00EF5714" w:rsidTr="006B43FA">
        <w:trPr>
          <w:trHeight w:val="264"/>
        </w:trPr>
        <w:tc>
          <w:tcPr>
            <w:tcW w:w="1271" w:type="dxa"/>
            <w:vMerge/>
            <w:shd w:val="clear" w:color="auto" w:fill="D9D9D9"/>
            <w:vAlign w:val="center"/>
          </w:tcPr>
          <w:p w:rsidR="00CB00DF" w:rsidRPr="00EF5714" w:rsidRDefault="00CB00DF" w:rsidP="00CB00DF">
            <w:pPr>
              <w:spacing w:line="500" w:lineRule="exact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025" w:type="dxa"/>
            <w:gridSpan w:val="2"/>
          </w:tcPr>
          <w:p w:rsidR="00CB00DF" w:rsidRPr="00EF5714" w:rsidRDefault="00945B2A" w:rsidP="006908A4">
            <w:pPr>
              <w:spacing w:line="500" w:lineRule="exact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F5714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EF5714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5.参与集中的经营者收购境外企业股权或资产的，该境外企业不在中国境内从事经济活动。</w:t>
            </w:r>
          </w:p>
        </w:tc>
      </w:tr>
      <w:tr w:rsidR="00CB00DF" w:rsidRPr="00EF5714" w:rsidTr="006B43FA">
        <w:trPr>
          <w:trHeight w:val="345"/>
        </w:trPr>
        <w:tc>
          <w:tcPr>
            <w:tcW w:w="1271" w:type="dxa"/>
            <w:vMerge/>
            <w:shd w:val="clear" w:color="auto" w:fill="D9D9D9"/>
            <w:vAlign w:val="center"/>
          </w:tcPr>
          <w:p w:rsidR="00CB00DF" w:rsidRPr="00EF5714" w:rsidRDefault="00CB00DF" w:rsidP="00CB00DF">
            <w:pPr>
              <w:spacing w:line="500" w:lineRule="exact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025" w:type="dxa"/>
            <w:gridSpan w:val="2"/>
          </w:tcPr>
          <w:p w:rsidR="00CB00DF" w:rsidRPr="00EF5714" w:rsidRDefault="00D74FCB" w:rsidP="006908A4">
            <w:pPr>
              <w:spacing w:line="500" w:lineRule="exact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F5714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EF5714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6.由两个以上的经营者共同控制的合营企业，通过集中被其中一个或一个以上经营者控制。</w:t>
            </w:r>
          </w:p>
        </w:tc>
      </w:tr>
      <w:tr w:rsidR="00CB00DF" w:rsidRPr="00EF5714" w:rsidTr="006B43FA">
        <w:trPr>
          <w:trHeight w:val="550"/>
        </w:trPr>
        <w:tc>
          <w:tcPr>
            <w:tcW w:w="1271" w:type="dxa"/>
            <w:shd w:val="clear" w:color="auto" w:fill="D9D9D9"/>
            <w:vAlign w:val="center"/>
          </w:tcPr>
          <w:p w:rsidR="00CB00DF" w:rsidRPr="00EF5714" w:rsidRDefault="00CB00DF" w:rsidP="00CB00DF">
            <w:pPr>
              <w:spacing w:line="500" w:lineRule="exact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F5714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7025" w:type="dxa"/>
            <w:gridSpan w:val="2"/>
          </w:tcPr>
          <w:p w:rsidR="00156ECE" w:rsidRPr="000D02B3" w:rsidRDefault="00945B2A" w:rsidP="00EF5D18">
            <w:pPr>
              <w:spacing w:line="500" w:lineRule="exact"/>
              <w:rPr>
                <w:rFonts w:ascii="仿宋" w:eastAsia="仿宋" w:hAnsi="仿宋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0D02B3">
              <w:rPr>
                <w:rFonts w:ascii="仿宋" w:eastAsia="仿宋" w:hAnsi="仿宋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相关产品市场</w:t>
            </w:r>
            <w:r w:rsidRPr="000D02B3">
              <w:rPr>
                <w:rFonts w:ascii="仿宋" w:eastAsia="仿宋" w:hAnsi="仿宋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</w:p>
          <w:p w:rsidR="00945B2A" w:rsidRDefault="000D02B3" w:rsidP="00EF5D18">
            <w:pPr>
              <w:spacing w:line="500" w:lineRule="exact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塔筒升降机</w:t>
            </w:r>
          </w:p>
          <w:p w:rsidR="000D02B3" w:rsidRPr="000D02B3" w:rsidRDefault="000D02B3" w:rsidP="00EF5D18">
            <w:pPr>
              <w:spacing w:line="500" w:lineRule="exact"/>
              <w:rPr>
                <w:rFonts w:ascii="仿宋" w:eastAsia="仿宋" w:hAnsi="仿宋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0D02B3">
              <w:rPr>
                <w:rFonts w:ascii="仿宋" w:eastAsia="仿宋" w:hAnsi="仿宋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相关地域市场</w:t>
            </w:r>
            <w:r w:rsidRPr="000D02B3">
              <w:rPr>
                <w:rFonts w:ascii="仿宋" w:eastAsia="仿宋" w:hAnsi="仿宋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</w:p>
          <w:p w:rsidR="000D02B3" w:rsidRDefault="000D02B3" w:rsidP="00EF5D18">
            <w:pPr>
              <w:spacing w:line="500" w:lineRule="exact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中国市场</w:t>
            </w:r>
          </w:p>
          <w:p w:rsidR="000D02B3" w:rsidRPr="000D02B3" w:rsidRDefault="000D02B3" w:rsidP="00EF5D18">
            <w:pPr>
              <w:spacing w:line="500" w:lineRule="exact"/>
              <w:rPr>
                <w:rFonts w:ascii="仿宋" w:eastAsia="仿宋" w:hAnsi="仿宋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0D02B3">
              <w:rPr>
                <w:rFonts w:ascii="仿宋" w:eastAsia="仿宋" w:hAnsi="仿宋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</w:t>
            </w:r>
            <w:r w:rsidRPr="000D02B3">
              <w:rPr>
                <w:rFonts w:ascii="仿宋" w:eastAsia="仿宋" w:hAnsi="仿宋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份额：</w:t>
            </w:r>
          </w:p>
          <w:p w:rsidR="000D02B3" w:rsidRPr="00EF5D18" w:rsidRDefault="000D02B3" w:rsidP="00EF5D18">
            <w:pPr>
              <w:spacing w:line="500" w:lineRule="exact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0D02B3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布兰德工业控股公司</w:t>
            </w: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：【5%—1</w:t>
            </w:r>
            <w:r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%】</w:t>
            </w:r>
          </w:p>
        </w:tc>
      </w:tr>
    </w:tbl>
    <w:p w:rsidR="000F5E24" w:rsidRPr="00CB00DF" w:rsidRDefault="001C56FD"/>
    <w:sectPr w:rsidR="000F5E24" w:rsidRPr="00CB00DF" w:rsidSect="00ED21B1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1465F" w:rsidRDefault="0091465F" w:rsidP="00EF5714">
      <w:r>
        <w:separator/>
      </w:r>
    </w:p>
  </w:endnote>
  <w:endnote w:type="continuationSeparator" w:id="1">
    <w:p w:rsidR="0091465F" w:rsidRDefault="0091465F" w:rsidP="00EF571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546222184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:rsidR="00C7337C" w:rsidRDefault="001E69E7">
            <w:pPr>
              <w:pStyle w:val="a4"/>
              <w:jc w:val="center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 w:rsidR="00C7337C"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C56FD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="00C7337C"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 w:rsidR="00C7337C"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C56FD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C7337C" w:rsidRDefault="00C7337C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1465F" w:rsidRDefault="0091465F" w:rsidP="00EF5714">
      <w:r>
        <w:separator/>
      </w:r>
    </w:p>
  </w:footnote>
  <w:footnote w:type="continuationSeparator" w:id="1">
    <w:p w:rsidR="0091465F" w:rsidRDefault="0091465F" w:rsidP="00EF571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AE74166"/>
    <w:multiLevelType w:val="hybridMultilevel"/>
    <w:tmpl w:val="3A145DAA"/>
    <w:lvl w:ilvl="0" w:tplc="31B08B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ED36241"/>
    <w:multiLevelType w:val="hybridMultilevel"/>
    <w:tmpl w:val="FFFC0290"/>
    <w:lvl w:ilvl="0" w:tplc="DB7829C0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2289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B00DF"/>
    <w:rsid w:val="00037065"/>
    <w:rsid w:val="00071AFB"/>
    <w:rsid w:val="000D02B3"/>
    <w:rsid w:val="000D7EBA"/>
    <w:rsid w:val="001164CD"/>
    <w:rsid w:val="00155717"/>
    <w:rsid w:val="00156ECE"/>
    <w:rsid w:val="001837A3"/>
    <w:rsid w:val="001C56FD"/>
    <w:rsid w:val="001E69E7"/>
    <w:rsid w:val="00244095"/>
    <w:rsid w:val="00252B17"/>
    <w:rsid w:val="00254037"/>
    <w:rsid w:val="003C0AEB"/>
    <w:rsid w:val="003D5370"/>
    <w:rsid w:val="00441F0E"/>
    <w:rsid w:val="004F7688"/>
    <w:rsid w:val="005209ED"/>
    <w:rsid w:val="00532A6A"/>
    <w:rsid w:val="005828AF"/>
    <w:rsid w:val="006467D8"/>
    <w:rsid w:val="00647EB5"/>
    <w:rsid w:val="006704BF"/>
    <w:rsid w:val="006A531B"/>
    <w:rsid w:val="006B43FA"/>
    <w:rsid w:val="006F7693"/>
    <w:rsid w:val="00710140"/>
    <w:rsid w:val="007108AA"/>
    <w:rsid w:val="007F2275"/>
    <w:rsid w:val="00871770"/>
    <w:rsid w:val="0091465F"/>
    <w:rsid w:val="00915F0F"/>
    <w:rsid w:val="00945B2A"/>
    <w:rsid w:val="009532DF"/>
    <w:rsid w:val="00997019"/>
    <w:rsid w:val="009A5029"/>
    <w:rsid w:val="009D38D5"/>
    <w:rsid w:val="00A53F26"/>
    <w:rsid w:val="00AA0CC5"/>
    <w:rsid w:val="00AD4DC1"/>
    <w:rsid w:val="00B16AFE"/>
    <w:rsid w:val="00B65DD5"/>
    <w:rsid w:val="00BD10B6"/>
    <w:rsid w:val="00C07076"/>
    <w:rsid w:val="00C10314"/>
    <w:rsid w:val="00C36A99"/>
    <w:rsid w:val="00C7337C"/>
    <w:rsid w:val="00CB00DF"/>
    <w:rsid w:val="00D16C47"/>
    <w:rsid w:val="00D73C72"/>
    <w:rsid w:val="00D74FCB"/>
    <w:rsid w:val="00E0592B"/>
    <w:rsid w:val="00E148E2"/>
    <w:rsid w:val="00E31738"/>
    <w:rsid w:val="00E84485"/>
    <w:rsid w:val="00E86786"/>
    <w:rsid w:val="00ED2F80"/>
    <w:rsid w:val="00EF5714"/>
    <w:rsid w:val="00EF5D18"/>
    <w:rsid w:val="00F1624E"/>
    <w:rsid w:val="00F32F8A"/>
    <w:rsid w:val="00F810AA"/>
    <w:rsid w:val="00FA4A59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F571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F5714"/>
    <w:rPr>
      <w:rFonts w:ascii="Calibri" w:eastAsia="宋体" w:hAnsi="Calibri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F571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F5714"/>
    <w:rPr>
      <w:rFonts w:ascii="Calibri" w:eastAsia="宋体" w:hAnsi="Calibri" w:cs="Times New Roman"/>
      <w:sz w:val="18"/>
      <w:szCs w:val="18"/>
    </w:rPr>
  </w:style>
  <w:style w:type="paragraph" w:styleId="a5">
    <w:name w:val="List Paragraph"/>
    <w:basedOn w:val="a"/>
    <w:uiPriority w:val="34"/>
    <w:qFormat/>
    <w:rsid w:val="00E84485"/>
    <w:pPr>
      <w:ind w:firstLineChars="200" w:firstLine="420"/>
    </w:pPr>
  </w:style>
  <w:style w:type="paragraph" w:styleId="a6">
    <w:name w:val="footnote text"/>
    <w:basedOn w:val="a"/>
    <w:link w:val="Char1"/>
    <w:uiPriority w:val="99"/>
    <w:semiHidden/>
    <w:unhideWhenUsed/>
    <w:rsid w:val="00D74FCB"/>
    <w:pPr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1">
    <w:name w:val="脚注文本 Char"/>
    <w:basedOn w:val="a0"/>
    <w:link w:val="a6"/>
    <w:uiPriority w:val="99"/>
    <w:semiHidden/>
    <w:rsid w:val="00D74FCB"/>
    <w:rPr>
      <w:sz w:val="18"/>
      <w:szCs w:val="18"/>
    </w:rPr>
  </w:style>
  <w:style w:type="character" w:styleId="a7">
    <w:name w:val="footnote reference"/>
    <w:basedOn w:val="a0"/>
    <w:uiPriority w:val="99"/>
    <w:semiHidden/>
    <w:unhideWhenUsed/>
    <w:rsid w:val="00D74FCB"/>
    <w:rPr>
      <w:vertAlign w:val="superscript"/>
    </w:rPr>
  </w:style>
  <w:style w:type="paragraph" w:styleId="a8">
    <w:name w:val="Balloon Text"/>
    <w:basedOn w:val="a"/>
    <w:link w:val="Char2"/>
    <w:uiPriority w:val="99"/>
    <w:semiHidden/>
    <w:unhideWhenUsed/>
    <w:rsid w:val="00871770"/>
    <w:rPr>
      <w:sz w:val="18"/>
      <w:szCs w:val="18"/>
    </w:rPr>
  </w:style>
  <w:style w:type="character" w:customStyle="1" w:styleId="Char2">
    <w:name w:val="批注框文本 Char"/>
    <w:basedOn w:val="a0"/>
    <w:link w:val="a8"/>
    <w:uiPriority w:val="99"/>
    <w:semiHidden/>
    <w:rsid w:val="00871770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135</Words>
  <Characters>770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JunHe LLP</dc:creator>
  <cp:lastModifiedBy>李明哲</cp:lastModifiedBy>
  <cp:revision>2</cp:revision>
  <dcterms:created xsi:type="dcterms:W3CDTF">2019-12-18T06:11:00Z</dcterms:created>
  <dcterms:modified xsi:type="dcterms:W3CDTF">2019-12-18T06:11:00Z</dcterms:modified>
</cp:coreProperties>
</file>