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ind w:firstLine="480"/>
        <w:jc w:val="center"/>
        <w:rPr>
          <w:rFonts w:ascii="Times New Roman" w:hAnsi="Times New Roman" w:eastAsia="仿宋" w:cs="Times New Roman"/>
          <w:sz w:val="24"/>
          <w:szCs w:val="24"/>
        </w:rPr>
      </w:pPr>
      <w:r>
        <w:rPr>
          <w:rFonts w:ascii="Times New Roman" w:hAnsi="Times New Roman" w:eastAsia="仿宋" w:cs="Times New Roman"/>
          <w:sz w:val="24"/>
          <w:szCs w:val="24"/>
        </w:rPr>
        <w:t>经营者集中简易案件公示表</w:t>
      </w:r>
    </w:p>
    <w:p>
      <w:pPr>
        <w:spacing w:line="440" w:lineRule="exact"/>
        <w:ind w:firstLine="480"/>
        <w:rPr>
          <w:rFonts w:ascii="Times New Roman" w:hAnsi="Times New Roman" w:eastAsia="仿宋" w:cs="Times New Roman"/>
          <w:sz w:val="24"/>
          <w:szCs w:val="24"/>
        </w:rPr>
      </w:pPr>
    </w:p>
    <w:tbl>
      <w:tblPr>
        <w:tblStyle w:val="17"/>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2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0" w:hRule="atLeast"/>
        </w:trPr>
        <w:tc>
          <w:tcPr>
            <w:tcW w:w="1809" w:type="dxa"/>
            <w:tcBorders>
              <w:top w:val="single" w:color="auto" w:sz="4" w:space="0"/>
              <w:left w:val="single" w:color="auto" w:sz="4" w:space="0"/>
              <w:bottom w:val="single" w:color="auto" w:sz="4" w:space="0"/>
              <w:right w:val="single" w:color="auto" w:sz="4" w:space="0"/>
            </w:tcBorders>
            <w:shd w:val="clear" w:color="auto" w:fill="D9D9D9"/>
          </w:tcPr>
          <w:p>
            <w:pPr>
              <w:spacing w:line="500" w:lineRule="exact"/>
              <w:ind w:firstLine="480"/>
              <w:rPr>
                <w:rFonts w:ascii="Times New Roman" w:hAnsi="Times New Roman" w:eastAsia="仿宋" w:cs="Times New Roman"/>
                <w:sz w:val="24"/>
                <w:szCs w:val="24"/>
              </w:rPr>
            </w:pPr>
            <w:r>
              <w:rPr>
                <w:rFonts w:ascii="Times New Roman" w:hAnsi="Times New Roman" w:eastAsia="仿宋" w:cs="Times New Roman"/>
                <w:sz w:val="24"/>
                <w:szCs w:val="24"/>
              </w:rPr>
              <w:t>案件名称</w:t>
            </w:r>
          </w:p>
        </w:tc>
        <w:tc>
          <w:tcPr>
            <w:tcW w:w="7088" w:type="dxa"/>
            <w:gridSpan w:val="2"/>
            <w:tcBorders>
              <w:top w:val="single" w:color="auto" w:sz="4" w:space="0"/>
              <w:left w:val="single" w:color="auto" w:sz="4" w:space="0"/>
              <w:bottom w:val="single" w:color="auto" w:sz="4" w:space="0"/>
              <w:right w:val="single" w:color="auto" w:sz="4" w:space="0"/>
            </w:tcBorders>
          </w:tcPr>
          <w:p>
            <w:pPr>
              <w:spacing w:line="500" w:lineRule="exact"/>
              <w:rPr>
                <w:rFonts w:ascii="Times New Roman" w:hAnsi="Times New Roman" w:eastAsia="仿宋" w:cs="Times New Roman"/>
                <w:sz w:val="24"/>
                <w:szCs w:val="24"/>
              </w:rPr>
            </w:pPr>
            <w:r>
              <w:rPr>
                <w:rFonts w:ascii="Times New Roman" w:hAnsi="Times New Roman" w:eastAsia="仿宋" w:cs="Times New Roman"/>
                <w:sz w:val="24"/>
                <w:szCs w:val="24"/>
                <w:lang w:val="en-SG"/>
              </w:rPr>
              <w:t>Kyanite</w:t>
            </w:r>
            <w:r>
              <w:rPr>
                <w:rFonts w:ascii="Times New Roman" w:hAnsi="Times New Roman" w:eastAsia="仿宋" w:cs="Times New Roman"/>
                <w:sz w:val="24"/>
                <w:szCs w:val="24"/>
              </w:rPr>
              <w:t>投资控股有限公司收购吉宝企业有限公司股权案（简称“</w:t>
            </w:r>
            <w:r>
              <w:rPr>
                <w:rFonts w:ascii="Times New Roman" w:hAnsi="Times New Roman" w:eastAsia="仿宋" w:cs="Times New Roman"/>
                <w:b/>
                <w:sz w:val="24"/>
                <w:szCs w:val="24"/>
              </w:rPr>
              <w:t>本次交易</w:t>
            </w:r>
            <w:r>
              <w:rPr>
                <w:rFonts w:ascii="Times New Roman" w:hAnsi="Times New Roman" w:eastAsia="仿宋"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60" w:hRule="atLeast"/>
        </w:trPr>
        <w:tc>
          <w:tcPr>
            <w:tcW w:w="1809" w:type="dxa"/>
            <w:tcBorders>
              <w:top w:val="single" w:color="auto" w:sz="4" w:space="0"/>
              <w:left w:val="single" w:color="auto" w:sz="4" w:space="0"/>
              <w:bottom w:val="single" w:color="auto" w:sz="4" w:space="0"/>
              <w:right w:val="single" w:color="auto" w:sz="4" w:space="0"/>
            </w:tcBorders>
            <w:shd w:val="clear" w:color="auto" w:fill="D9D9D9"/>
          </w:tcPr>
          <w:p>
            <w:pPr>
              <w:spacing w:line="500" w:lineRule="exact"/>
              <w:ind w:firstLine="480"/>
              <w:rPr>
                <w:rFonts w:ascii="Times New Roman" w:hAnsi="Times New Roman" w:eastAsia="仿宋" w:cs="Times New Roman"/>
                <w:sz w:val="24"/>
                <w:szCs w:val="24"/>
              </w:rPr>
            </w:pPr>
            <w:r>
              <w:rPr>
                <w:rFonts w:ascii="Times New Roman" w:hAnsi="Times New Roman" w:eastAsia="仿宋" w:cs="Times New Roman"/>
                <w:sz w:val="24"/>
                <w:szCs w:val="24"/>
              </w:rPr>
              <w:t>交易概况（限200字内）</w:t>
            </w:r>
          </w:p>
        </w:tc>
        <w:tc>
          <w:tcPr>
            <w:tcW w:w="7088" w:type="dxa"/>
            <w:gridSpan w:val="2"/>
            <w:tcBorders>
              <w:top w:val="single" w:color="auto" w:sz="4" w:space="0"/>
              <w:left w:val="single" w:color="auto" w:sz="4" w:space="0"/>
              <w:bottom w:val="single" w:color="auto" w:sz="4" w:space="0"/>
              <w:right w:val="single" w:color="auto" w:sz="4" w:space="0"/>
            </w:tcBorders>
          </w:tcPr>
          <w:p>
            <w:pPr>
              <w:spacing w:line="500" w:lineRule="exact"/>
              <w:rPr>
                <w:rFonts w:ascii="Times New Roman" w:hAnsi="Times New Roman" w:eastAsia="仿宋" w:cs="Times New Roman"/>
                <w:sz w:val="24"/>
                <w:szCs w:val="24"/>
              </w:rPr>
            </w:pPr>
            <w:r>
              <w:rPr>
                <w:rFonts w:ascii="Times New Roman" w:hAnsi="Times New Roman" w:eastAsia="仿宋" w:cs="Times New Roman"/>
                <w:sz w:val="24"/>
                <w:szCs w:val="24"/>
              </w:rPr>
              <w:t>本次交易涉及淡马锡控股（私人）有限公司（“</w:t>
            </w:r>
            <w:r>
              <w:rPr>
                <w:rFonts w:ascii="Times New Roman" w:hAnsi="Times New Roman" w:eastAsia="仿宋" w:cs="Times New Roman"/>
                <w:b/>
                <w:sz w:val="24"/>
                <w:szCs w:val="24"/>
              </w:rPr>
              <w:t>淡马锡</w:t>
            </w:r>
            <w:r>
              <w:rPr>
                <w:rFonts w:ascii="Times New Roman" w:hAnsi="Times New Roman" w:eastAsia="仿宋" w:cs="Times New Roman"/>
                <w:sz w:val="24"/>
                <w:szCs w:val="24"/>
              </w:rPr>
              <w:t>”）的间接全资子公司Kyanite投资控股有限公司（“</w:t>
            </w:r>
            <w:r>
              <w:rPr>
                <w:rFonts w:ascii="Times New Roman" w:hAnsi="Times New Roman" w:eastAsia="仿宋" w:cs="Times New Roman"/>
                <w:b/>
                <w:sz w:val="24"/>
                <w:szCs w:val="24"/>
              </w:rPr>
              <w:t>Kyanite</w:t>
            </w:r>
            <w:r>
              <w:rPr>
                <w:rFonts w:ascii="Times New Roman" w:hAnsi="Times New Roman" w:eastAsia="仿宋" w:cs="Times New Roman"/>
                <w:sz w:val="24"/>
                <w:szCs w:val="24"/>
              </w:rPr>
              <w:t>”）以公开要约收购的方式，将Kyanite</w:t>
            </w:r>
            <w:r>
              <w:rPr>
                <w:rFonts w:hint="eastAsia" w:ascii="Times New Roman" w:hAnsi="Times New Roman" w:eastAsia="仿宋" w:cs="Times New Roman"/>
                <w:sz w:val="24"/>
                <w:szCs w:val="24"/>
              </w:rPr>
              <w:t>和</w:t>
            </w:r>
            <w:r>
              <w:rPr>
                <w:rFonts w:ascii="Times New Roman" w:hAnsi="Times New Roman" w:eastAsia="仿宋" w:cs="Times New Roman"/>
                <w:sz w:val="24"/>
                <w:szCs w:val="24"/>
              </w:rPr>
              <w:t>淡马锡在吉宝企业有限公司（“</w:t>
            </w:r>
            <w:r>
              <w:rPr>
                <w:rFonts w:ascii="Times New Roman" w:hAnsi="Times New Roman" w:eastAsia="仿宋" w:cs="Times New Roman"/>
                <w:b/>
                <w:sz w:val="24"/>
                <w:szCs w:val="24"/>
              </w:rPr>
              <w:t>吉宝</w:t>
            </w:r>
            <w:r>
              <w:rPr>
                <w:rFonts w:ascii="Times New Roman" w:hAnsi="Times New Roman" w:eastAsia="仿宋" w:cs="Times New Roman"/>
                <w:sz w:val="24"/>
                <w:szCs w:val="24"/>
              </w:rPr>
              <w:t>”）</w:t>
            </w:r>
            <w:r>
              <w:rPr>
                <w:rFonts w:hint="eastAsia" w:ascii="Times New Roman" w:hAnsi="Times New Roman" w:eastAsia="仿宋" w:cs="Times New Roman"/>
                <w:sz w:val="24"/>
                <w:szCs w:val="24"/>
              </w:rPr>
              <w:t>直接持有的股份总额增持至约</w:t>
            </w:r>
            <w:r>
              <w:rPr>
                <w:rFonts w:ascii="Times New Roman" w:hAnsi="Times New Roman" w:eastAsia="仿宋" w:cs="Times New Roman"/>
                <w:sz w:val="24"/>
                <w:szCs w:val="24"/>
              </w:rPr>
              <w:t>51%。本次交易将通过对吉宝约</w:t>
            </w:r>
            <w:r>
              <w:rPr>
                <w:rFonts w:hint="eastAsia" w:ascii="Times New Roman" w:hAnsi="Times New Roman" w:eastAsia="仿宋" w:cs="Times New Roman"/>
                <w:sz w:val="24"/>
                <w:szCs w:val="24"/>
              </w:rPr>
              <w:t>30.55</w:t>
            </w:r>
            <w:r>
              <w:rPr>
                <w:rFonts w:ascii="Times New Roman" w:hAnsi="Times New Roman" w:eastAsia="仿宋" w:cs="Times New Roman"/>
                <w:sz w:val="24"/>
                <w:szCs w:val="24"/>
              </w:rPr>
              <w:t>%的已发行股份（</w:t>
            </w:r>
            <w:r>
              <w:rPr>
                <w:rFonts w:hint="eastAsia" w:ascii="Times New Roman" w:hAnsi="Times New Roman" w:eastAsia="仿宋" w:cs="Times New Roman"/>
                <w:sz w:val="24"/>
                <w:szCs w:val="24"/>
              </w:rPr>
              <w:t>不包括库存股份</w:t>
            </w:r>
            <w:r>
              <w:rPr>
                <w:rFonts w:ascii="Times New Roman" w:hAnsi="Times New Roman" w:eastAsia="仿宋" w:cs="Times New Roman"/>
                <w:sz w:val="24"/>
                <w:szCs w:val="24"/>
              </w:rPr>
              <w:t>）进行附先决条件的部分收购要约（于2019年10月21</w:t>
            </w:r>
            <w:bookmarkStart w:id="0" w:name="_GoBack"/>
            <w:bookmarkEnd w:id="0"/>
            <w:r>
              <w:rPr>
                <w:rFonts w:ascii="Times New Roman" w:hAnsi="Times New Roman" w:eastAsia="仿宋" w:cs="Times New Roman"/>
                <w:sz w:val="24"/>
                <w:szCs w:val="24"/>
              </w:rPr>
              <w:t>日</w:t>
            </w:r>
            <w:r>
              <w:rPr>
                <w:rFonts w:hint="eastAsia" w:ascii="Times New Roman" w:hAnsi="Times New Roman" w:eastAsia="仿宋" w:cs="Times New Roman"/>
                <w:sz w:val="24"/>
                <w:szCs w:val="24"/>
              </w:rPr>
              <w:t>发布公告</w:t>
            </w:r>
            <w:r>
              <w:rPr>
                <w:rFonts w:ascii="Times New Roman" w:hAnsi="Times New Roman" w:eastAsia="仿宋" w:cs="Times New Roman"/>
                <w:sz w:val="24"/>
                <w:szCs w:val="24"/>
              </w:rPr>
              <w:t>）来完成。本次交易后，淡马锡</w:t>
            </w:r>
            <w:r>
              <w:rPr>
                <w:rFonts w:hint="eastAsia" w:ascii="Times New Roman" w:hAnsi="Times New Roman" w:eastAsia="仿宋" w:cs="Times New Roman"/>
                <w:sz w:val="24"/>
                <w:szCs w:val="24"/>
              </w:rPr>
              <w:t>和</w:t>
            </w:r>
            <w:r>
              <w:rPr>
                <w:rFonts w:ascii="Times New Roman" w:hAnsi="Times New Roman" w:eastAsia="仿宋" w:cs="Times New Roman"/>
                <w:sz w:val="24"/>
                <w:szCs w:val="24"/>
              </w:rPr>
              <w:t>Kyanite将直接拥有吉宝合计约</w:t>
            </w:r>
            <w:r>
              <w:rPr>
                <w:rFonts w:hint="eastAsia" w:ascii="Times New Roman" w:hAnsi="Times New Roman" w:eastAsia="仿宋" w:cs="Times New Roman"/>
                <w:sz w:val="24"/>
                <w:szCs w:val="24"/>
              </w:rPr>
              <w:t>51</w:t>
            </w:r>
            <w:r>
              <w:rPr>
                <w:rFonts w:ascii="Times New Roman" w:hAnsi="Times New Roman" w:eastAsia="仿宋" w:cs="Times New Roman"/>
                <w:sz w:val="24"/>
                <w:szCs w:val="24"/>
              </w:rPr>
              <w:t>%的已发行股份（</w:t>
            </w:r>
            <w:r>
              <w:rPr>
                <w:rFonts w:hint="eastAsia" w:ascii="Times New Roman" w:hAnsi="Times New Roman" w:eastAsia="仿宋" w:cs="Times New Roman"/>
                <w:sz w:val="24"/>
                <w:szCs w:val="24"/>
              </w:rPr>
              <w:t>不包括库存股份</w:t>
            </w:r>
            <w:r>
              <w:rPr>
                <w:rFonts w:ascii="Times New Roman" w:hAnsi="Times New Roman" w:eastAsia="仿宋" w:cs="Times New Roman"/>
                <w:sz w:val="24"/>
                <w:szCs w:val="24"/>
              </w:rPr>
              <w:t>），并将被视为对吉宝拥有法律上的单独控制权。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tcBorders>
              <w:top w:val="single" w:color="auto" w:sz="4" w:space="0"/>
              <w:left w:val="single" w:color="auto" w:sz="4" w:space="0"/>
              <w:bottom w:val="single" w:color="auto" w:sz="4" w:space="0"/>
              <w:right w:val="single" w:color="auto" w:sz="4" w:space="0"/>
            </w:tcBorders>
            <w:shd w:val="clear" w:color="auto" w:fill="D9D9D9"/>
          </w:tcPr>
          <w:p>
            <w:pPr>
              <w:spacing w:line="500" w:lineRule="exact"/>
              <w:ind w:firstLine="480"/>
              <w:rPr>
                <w:rFonts w:ascii="Times New Roman" w:hAnsi="Times New Roman" w:eastAsia="仿宋" w:cs="Times New Roman"/>
                <w:sz w:val="24"/>
                <w:szCs w:val="24"/>
              </w:rPr>
            </w:pPr>
            <w:r>
              <w:rPr>
                <w:rFonts w:ascii="Times New Roman" w:hAnsi="Times New Roman" w:eastAsia="仿宋" w:cs="Times New Roman"/>
                <w:sz w:val="24"/>
                <w:szCs w:val="24"/>
              </w:rPr>
              <w:t>参与集中的经营者简介</w:t>
            </w:r>
          </w:p>
        </w:tc>
        <w:tc>
          <w:tcPr>
            <w:tcW w:w="1796" w:type="dxa"/>
            <w:tcBorders>
              <w:top w:val="single" w:color="auto" w:sz="4" w:space="0"/>
              <w:left w:val="single" w:color="auto" w:sz="4" w:space="0"/>
              <w:bottom w:val="single" w:color="auto" w:sz="4" w:space="0"/>
              <w:right w:val="single" w:color="auto" w:sz="4" w:space="0"/>
            </w:tcBorders>
          </w:tcPr>
          <w:p>
            <w:pPr>
              <w:pStyle w:val="35"/>
              <w:numPr>
                <w:ilvl w:val="0"/>
                <w:numId w:val="5"/>
              </w:numPr>
              <w:spacing w:line="500" w:lineRule="exact"/>
              <w:ind w:firstLineChars="0"/>
              <w:rPr>
                <w:rFonts w:ascii="Times New Roman" w:hAnsi="Times New Roman" w:eastAsia="仿宋" w:cs="Times New Roman"/>
                <w:sz w:val="24"/>
                <w:szCs w:val="24"/>
              </w:rPr>
            </w:pPr>
            <w:r>
              <w:rPr>
                <w:rFonts w:ascii="Times New Roman" w:hAnsi="Times New Roman" w:eastAsia="仿宋" w:cs="Times New Roman"/>
                <w:kern w:val="0"/>
                <w:sz w:val="24"/>
                <w:szCs w:val="24"/>
                <w:lang w:val="en-SG"/>
              </w:rPr>
              <w:t>Kyanite</w:t>
            </w:r>
          </w:p>
        </w:tc>
        <w:tc>
          <w:tcPr>
            <w:tcW w:w="5292" w:type="dxa"/>
            <w:tcBorders>
              <w:top w:val="single" w:color="auto" w:sz="4" w:space="0"/>
              <w:left w:val="single" w:color="auto" w:sz="4" w:space="0"/>
              <w:bottom w:val="single" w:color="auto" w:sz="4" w:space="0"/>
              <w:right w:val="single" w:color="auto" w:sz="4" w:space="0"/>
            </w:tcBorders>
          </w:tcPr>
          <w:p>
            <w:pPr>
              <w:spacing w:line="500" w:lineRule="exact"/>
              <w:jc w:val="left"/>
              <w:rPr>
                <w:rFonts w:ascii="Times New Roman" w:hAnsi="Times New Roman" w:eastAsia="仿宋" w:cs="Times New Roman"/>
                <w:sz w:val="24"/>
                <w:szCs w:val="24"/>
              </w:rPr>
            </w:pPr>
            <w:r>
              <w:rPr>
                <w:rFonts w:ascii="Times New Roman" w:hAnsi="Times New Roman" w:eastAsia="仿宋" w:cs="Times New Roman"/>
                <w:sz w:val="24"/>
                <w:szCs w:val="24"/>
              </w:rPr>
              <w:t>Kyanite是淡马锡旗下的一家间接全资子公司。</w:t>
            </w:r>
            <w:r>
              <w:rPr>
                <w:rFonts w:hint="eastAsia" w:ascii="Times New Roman" w:hAnsi="Times New Roman" w:eastAsia="仿宋" w:cs="Times New Roman"/>
                <w:sz w:val="24"/>
                <w:szCs w:val="24"/>
              </w:rPr>
              <w:t>除投资控股外</w:t>
            </w:r>
            <w:r>
              <w:rPr>
                <w:rFonts w:ascii="Times New Roman" w:hAnsi="Times New Roman" w:eastAsia="仿宋" w:cs="Times New Roman"/>
                <w:sz w:val="24"/>
                <w:szCs w:val="24"/>
              </w:rPr>
              <w:t>，Kyanite并不从事任何实际业务。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ind w:firstLine="480"/>
              <w:jc w:val="left"/>
              <w:rPr>
                <w:rFonts w:ascii="Times New Roman" w:hAnsi="Times New Roman" w:eastAsia="仿宋" w:cs="Times New Roman"/>
                <w:sz w:val="24"/>
                <w:szCs w:val="24"/>
              </w:rPr>
            </w:pPr>
          </w:p>
        </w:tc>
        <w:tc>
          <w:tcPr>
            <w:tcW w:w="1796" w:type="dxa"/>
            <w:tcBorders>
              <w:top w:val="single" w:color="auto" w:sz="4" w:space="0"/>
              <w:left w:val="single" w:color="auto" w:sz="4" w:space="0"/>
              <w:bottom w:val="single" w:color="auto" w:sz="4" w:space="0"/>
              <w:right w:val="single" w:color="auto" w:sz="4" w:space="0"/>
            </w:tcBorders>
          </w:tcPr>
          <w:p>
            <w:pPr>
              <w:pStyle w:val="35"/>
              <w:numPr>
                <w:ilvl w:val="0"/>
                <w:numId w:val="5"/>
              </w:numPr>
              <w:spacing w:line="500" w:lineRule="exact"/>
              <w:ind w:firstLineChars="0"/>
              <w:rPr>
                <w:rFonts w:ascii="Times New Roman" w:hAnsi="Times New Roman" w:eastAsia="仿宋" w:cs="Times New Roman"/>
                <w:sz w:val="24"/>
                <w:szCs w:val="24"/>
              </w:rPr>
            </w:pPr>
            <w:r>
              <w:rPr>
                <w:rFonts w:ascii="Times New Roman" w:hAnsi="Times New Roman" w:eastAsia="仿宋" w:cs="Times New Roman"/>
                <w:sz w:val="24"/>
                <w:szCs w:val="24"/>
              </w:rPr>
              <w:t>吉宝</w:t>
            </w:r>
          </w:p>
        </w:tc>
        <w:tc>
          <w:tcPr>
            <w:tcW w:w="5292" w:type="dxa"/>
            <w:tcBorders>
              <w:top w:val="single" w:color="auto" w:sz="4" w:space="0"/>
              <w:left w:val="single" w:color="auto" w:sz="4" w:space="0"/>
              <w:bottom w:val="single" w:color="auto" w:sz="4" w:space="0"/>
              <w:right w:val="single" w:color="auto" w:sz="4" w:space="0"/>
            </w:tcBorders>
          </w:tcPr>
          <w:p>
            <w:pPr>
              <w:spacing w:line="500" w:lineRule="exact"/>
              <w:rPr>
                <w:rFonts w:ascii="Times New Roman" w:hAnsi="Times New Roman" w:eastAsia="仿宋" w:cs="Times New Roman"/>
                <w:sz w:val="24"/>
                <w:szCs w:val="24"/>
              </w:rPr>
            </w:pPr>
            <w:r>
              <w:rPr>
                <w:rFonts w:ascii="Times New Roman" w:hAnsi="Times New Roman" w:eastAsia="仿宋" w:cs="Times New Roman"/>
                <w:sz w:val="24"/>
                <w:szCs w:val="24"/>
              </w:rPr>
              <w:t>吉宝是一家总部设立于新加坡并在新加坡证券交易所有限公司主板上市的企业集团。在中国，吉宝在多个领域开展业务，包括房地产、物流等。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tcBorders>
              <w:top w:val="single" w:color="auto" w:sz="4" w:space="0"/>
              <w:left w:val="single" w:color="auto" w:sz="4" w:space="0"/>
              <w:bottom w:val="single" w:color="auto" w:sz="4" w:space="0"/>
              <w:right w:val="single" w:color="auto" w:sz="4" w:space="0"/>
            </w:tcBorders>
            <w:shd w:val="clear" w:color="auto" w:fill="D9D9D9"/>
          </w:tcPr>
          <w:p>
            <w:pPr>
              <w:spacing w:line="500" w:lineRule="exact"/>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简易案件理由（可以单选，也可以多选）</w:t>
            </w:r>
          </w:p>
        </w:tc>
        <w:tc>
          <w:tcPr>
            <w:tcW w:w="7088" w:type="dxa"/>
            <w:gridSpan w:val="2"/>
            <w:tcBorders>
              <w:top w:val="single" w:color="auto" w:sz="4" w:space="0"/>
              <w:left w:val="single" w:color="auto" w:sz="4" w:space="0"/>
              <w:bottom w:val="single" w:color="auto" w:sz="4" w:space="0"/>
              <w:right w:val="single" w:color="auto" w:sz="4" w:space="0"/>
            </w:tcBorders>
          </w:tcPr>
          <w:p>
            <w:pPr>
              <w:spacing w:line="500" w:lineRule="exact"/>
              <w:rPr>
                <w:rFonts w:ascii="Times New Roman" w:hAnsi="Times New Roman" w:eastAsia="仿宋" w:cs="Times New Roman"/>
                <w:sz w:val="24"/>
                <w:szCs w:val="24"/>
              </w:rPr>
            </w:pPr>
            <w:r>
              <w:rPr>
                <w:rFonts w:ascii="Wingdings" w:hAnsi="Wingdings"/>
                <w:sz w:val="24"/>
                <w:szCs w:val="24"/>
              </w:rPr>
              <w:sym w:font="Wingdings" w:char="F0FE"/>
            </w:r>
            <w:r>
              <w:rPr>
                <w:rFonts w:ascii="Times New Roman" w:hAnsi="Times New Roman" w:eastAsia="仿宋" w:cs="Times New Roman"/>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ind w:firstLine="480"/>
              <w:jc w:val="left"/>
              <w:rPr>
                <w:rFonts w:ascii="Times New Roman" w:hAnsi="Times New Roman" w:eastAsia="仿宋" w:cs="Times New Roman"/>
                <w:sz w:val="24"/>
                <w:szCs w:val="24"/>
              </w:rPr>
            </w:pPr>
          </w:p>
        </w:tc>
        <w:tc>
          <w:tcPr>
            <w:tcW w:w="7088" w:type="dxa"/>
            <w:gridSpan w:val="2"/>
            <w:tcBorders>
              <w:top w:val="single" w:color="auto" w:sz="4" w:space="0"/>
              <w:left w:val="single" w:color="auto" w:sz="4" w:space="0"/>
              <w:bottom w:val="single" w:color="auto" w:sz="4" w:space="0"/>
              <w:right w:val="single" w:color="auto" w:sz="4" w:space="0"/>
            </w:tcBorders>
          </w:tcPr>
          <w:p>
            <w:pPr>
              <w:spacing w:line="500" w:lineRule="exact"/>
              <w:rPr>
                <w:rFonts w:ascii="Times New Roman" w:hAnsi="Times New Roman" w:eastAsia="仿宋" w:cs="Times New Roman"/>
                <w:sz w:val="24"/>
                <w:szCs w:val="24"/>
              </w:rPr>
            </w:pPr>
            <w:r>
              <w:rPr>
                <w:rFonts w:ascii="Times New Roman" w:hAnsi="Times New Roman" w:eastAsia="仿宋" w:cs="Times New Roman"/>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ind w:firstLine="480"/>
              <w:jc w:val="left"/>
              <w:rPr>
                <w:rFonts w:ascii="Times New Roman" w:hAnsi="Times New Roman" w:eastAsia="仿宋" w:cs="Times New Roman"/>
                <w:sz w:val="24"/>
                <w:szCs w:val="24"/>
              </w:rPr>
            </w:pPr>
          </w:p>
        </w:tc>
        <w:tc>
          <w:tcPr>
            <w:tcW w:w="7088" w:type="dxa"/>
            <w:gridSpan w:val="2"/>
            <w:tcBorders>
              <w:top w:val="single" w:color="auto" w:sz="4" w:space="0"/>
              <w:left w:val="single" w:color="auto" w:sz="4" w:space="0"/>
              <w:bottom w:val="single" w:color="auto" w:sz="4" w:space="0"/>
              <w:right w:val="single" w:color="auto" w:sz="4" w:space="0"/>
            </w:tcBorders>
          </w:tcPr>
          <w:p>
            <w:pPr>
              <w:spacing w:line="500" w:lineRule="exact"/>
              <w:rPr>
                <w:rFonts w:ascii="Times New Roman" w:hAnsi="Times New Roman" w:eastAsia="仿宋" w:cs="Times New Roman"/>
                <w:sz w:val="24"/>
                <w:szCs w:val="24"/>
              </w:rPr>
            </w:pPr>
            <w:r>
              <w:rPr>
                <w:rFonts w:ascii="Times New Roman" w:hAnsi="Times New Roman" w:eastAsia="仿宋" w:cs="Times New Roman"/>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ind w:firstLine="480"/>
              <w:jc w:val="left"/>
              <w:rPr>
                <w:rFonts w:ascii="Times New Roman" w:hAnsi="Times New Roman" w:eastAsia="仿宋" w:cs="Times New Roman"/>
                <w:sz w:val="24"/>
                <w:szCs w:val="24"/>
              </w:rPr>
            </w:pPr>
          </w:p>
        </w:tc>
        <w:tc>
          <w:tcPr>
            <w:tcW w:w="7088" w:type="dxa"/>
            <w:gridSpan w:val="2"/>
            <w:tcBorders>
              <w:top w:val="single" w:color="auto" w:sz="4" w:space="0"/>
              <w:left w:val="single" w:color="auto" w:sz="4" w:space="0"/>
              <w:bottom w:val="single" w:color="auto" w:sz="4" w:space="0"/>
              <w:right w:val="single" w:color="auto" w:sz="4" w:space="0"/>
            </w:tcBorders>
          </w:tcPr>
          <w:p>
            <w:pPr>
              <w:spacing w:line="500" w:lineRule="exact"/>
              <w:rPr>
                <w:rFonts w:ascii="Times New Roman" w:hAnsi="Times New Roman" w:eastAsia="仿宋" w:cs="Times New Roman"/>
                <w:sz w:val="24"/>
                <w:szCs w:val="24"/>
              </w:rPr>
            </w:pPr>
            <w:r>
              <w:rPr>
                <w:rFonts w:ascii="Times New Roman" w:hAnsi="Times New Roman" w:eastAsia="仿宋" w:cs="Times New Roman"/>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ind w:firstLine="480"/>
              <w:jc w:val="left"/>
              <w:rPr>
                <w:rFonts w:ascii="Times New Roman" w:hAnsi="Times New Roman" w:eastAsia="仿宋" w:cs="Times New Roman"/>
                <w:sz w:val="24"/>
                <w:szCs w:val="24"/>
              </w:rPr>
            </w:pPr>
          </w:p>
        </w:tc>
        <w:tc>
          <w:tcPr>
            <w:tcW w:w="7088" w:type="dxa"/>
            <w:gridSpan w:val="2"/>
            <w:tcBorders>
              <w:top w:val="single" w:color="auto" w:sz="4" w:space="0"/>
              <w:left w:val="single" w:color="auto" w:sz="4" w:space="0"/>
              <w:bottom w:val="single" w:color="auto" w:sz="4" w:space="0"/>
              <w:right w:val="single" w:color="auto" w:sz="4" w:space="0"/>
            </w:tcBorders>
          </w:tcPr>
          <w:p>
            <w:pPr>
              <w:spacing w:line="500" w:lineRule="exact"/>
              <w:rPr>
                <w:rFonts w:ascii="Times New Roman" w:hAnsi="Times New Roman" w:eastAsia="仿宋" w:cs="Times New Roman"/>
                <w:sz w:val="24"/>
                <w:szCs w:val="24"/>
              </w:rPr>
            </w:pPr>
            <w:r>
              <w:rPr>
                <w:rFonts w:ascii="Times New Roman" w:hAnsi="Times New Roman" w:eastAsia="仿宋" w:cs="Times New Roman"/>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tcBorders>
              <w:top w:val="single" w:color="auto" w:sz="4" w:space="0"/>
              <w:left w:val="single" w:color="auto" w:sz="4" w:space="0"/>
              <w:bottom w:val="single" w:color="auto" w:sz="4" w:space="0"/>
              <w:right w:val="single" w:color="auto" w:sz="4" w:space="0"/>
            </w:tcBorders>
            <w:vAlign w:val="center"/>
          </w:tcPr>
          <w:p>
            <w:pPr>
              <w:widowControl/>
              <w:ind w:firstLine="480"/>
              <w:jc w:val="left"/>
              <w:rPr>
                <w:rFonts w:ascii="Times New Roman" w:hAnsi="Times New Roman" w:eastAsia="仿宋" w:cs="Times New Roman"/>
                <w:sz w:val="24"/>
                <w:szCs w:val="24"/>
              </w:rPr>
            </w:pPr>
          </w:p>
        </w:tc>
        <w:tc>
          <w:tcPr>
            <w:tcW w:w="7088" w:type="dxa"/>
            <w:gridSpan w:val="2"/>
            <w:tcBorders>
              <w:top w:val="single" w:color="auto" w:sz="4" w:space="0"/>
              <w:left w:val="single" w:color="auto" w:sz="4" w:space="0"/>
              <w:bottom w:val="single" w:color="auto" w:sz="4" w:space="0"/>
              <w:right w:val="single" w:color="auto" w:sz="4" w:space="0"/>
            </w:tcBorders>
          </w:tcPr>
          <w:p>
            <w:pPr>
              <w:spacing w:line="500" w:lineRule="exact"/>
              <w:rPr>
                <w:rFonts w:ascii="Times New Roman" w:hAnsi="Times New Roman" w:eastAsia="仿宋" w:cs="Times New Roman"/>
                <w:sz w:val="24"/>
                <w:szCs w:val="24"/>
              </w:rPr>
            </w:pPr>
            <w:r>
              <w:rPr>
                <w:rFonts w:ascii="Times New Roman" w:hAnsi="Times New Roman" w:eastAsia="仿宋" w:cs="Times New Roman"/>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tcBorders>
              <w:top w:val="single" w:color="auto" w:sz="4" w:space="0"/>
              <w:left w:val="single" w:color="auto" w:sz="4" w:space="0"/>
              <w:bottom w:val="single" w:color="auto" w:sz="4" w:space="0"/>
              <w:right w:val="single" w:color="auto" w:sz="4" w:space="0"/>
            </w:tcBorders>
            <w:shd w:val="clear" w:color="auto" w:fill="D9D9D9"/>
          </w:tcPr>
          <w:p>
            <w:pPr>
              <w:spacing w:line="500" w:lineRule="exact"/>
              <w:ind w:firstLine="480"/>
              <w:rPr>
                <w:rFonts w:ascii="Times New Roman" w:hAnsi="Times New Roman" w:eastAsia="仿宋" w:cs="Times New Roman"/>
                <w:sz w:val="24"/>
                <w:szCs w:val="24"/>
              </w:rPr>
            </w:pPr>
            <w:r>
              <w:rPr>
                <w:rFonts w:ascii="Times New Roman" w:hAnsi="Times New Roman" w:eastAsia="仿宋" w:cs="Times New Roman"/>
                <w:sz w:val="24"/>
                <w:szCs w:val="24"/>
              </w:rPr>
              <w:t>备注</w:t>
            </w:r>
          </w:p>
        </w:tc>
        <w:tc>
          <w:tcPr>
            <w:tcW w:w="7088" w:type="dxa"/>
            <w:gridSpan w:val="2"/>
            <w:tcBorders>
              <w:top w:val="single" w:color="auto" w:sz="4" w:space="0"/>
              <w:left w:val="single" w:color="auto" w:sz="4" w:space="0"/>
              <w:bottom w:val="single" w:color="auto" w:sz="4" w:space="0"/>
              <w:right w:val="single" w:color="auto" w:sz="4" w:space="0"/>
            </w:tcBorders>
          </w:tcPr>
          <w:p>
            <w:pPr>
              <w:spacing w:before="312" w:beforeLines="100" w:after="312" w:afterLines="100"/>
              <w:rPr>
                <w:rFonts w:ascii="Times New Roman" w:hAnsi="Times New Roman" w:eastAsia="仿宋" w:cs="Times New Roman"/>
                <w:b/>
                <w:sz w:val="24"/>
                <w:szCs w:val="24"/>
                <w:u w:val="single"/>
              </w:rPr>
            </w:pPr>
            <w:r>
              <w:rPr>
                <w:rFonts w:ascii="Times New Roman" w:hAnsi="Times New Roman" w:eastAsia="仿宋" w:cs="Times New Roman"/>
                <w:b/>
                <w:sz w:val="24"/>
                <w:szCs w:val="24"/>
                <w:u w:val="single"/>
              </w:rPr>
              <w:t>相关市场及市场份额：</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（1）上海市</w:t>
            </w:r>
            <w:r>
              <w:rPr>
                <w:rFonts w:hint="eastAsia" w:ascii="Times New Roman" w:hAnsi="Times New Roman" w:eastAsia="仿宋" w:cs="Times New Roman"/>
                <w:sz w:val="24"/>
                <w:szCs w:val="24"/>
                <w:lang w:eastAsia="zh-CN"/>
              </w:rPr>
              <w:t>商品住宅</w:t>
            </w:r>
            <w:r>
              <w:rPr>
                <w:rFonts w:ascii="Times New Roman" w:hAnsi="Times New Roman" w:eastAsia="仿宋" w:cs="Times New Roman"/>
                <w:sz w:val="24"/>
                <w:szCs w:val="24"/>
              </w:rPr>
              <w:t>开发市场：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合并市场份额为[0-5]％；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南京市</w:t>
            </w:r>
            <w:r>
              <w:rPr>
                <w:rFonts w:hint="eastAsia" w:ascii="Times New Roman" w:hAnsi="Times New Roman" w:eastAsia="仿宋" w:cs="Times New Roman"/>
                <w:sz w:val="24"/>
                <w:szCs w:val="24"/>
                <w:lang w:eastAsia="zh-CN"/>
              </w:rPr>
              <w:t>商品住宅</w:t>
            </w:r>
            <w:r>
              <w:rPr>
                <w:rFonts w:hint="eastAsia" w:ascii="Times New Roman" w:hAnsi="Times New Roman" w:eastAsia="仿宋" w:cs="Times New Roman"/>
                <w:sz w:val="24"/>
                <w:szCs w:val="24"/>
              </w:rPr>
              <w:t>开发市场：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合并市场份额为[0-5]％；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成都市</w:t>
            </w:r>
            <w:r>
              <w:rPr>
                <w:rFonts w:hint="eastAsia" w:ascii="Times New Roman" w:hAnsi="Times New Roman" w:eastAsia="仿宋" w:cs="Times New Roman"/>
                <w:sz w:val="24"/>
                <w:szCs w:val="24"/>
                <w:lang w:eastAsia="zh-CN"/>
              </w:rPr>
              <w:t>商品住宅</w:t>
            </w:r>
            <w:r>
              <w:rPr>
                <w:rFonts w:hint="eastAsia" w:ascii="Times New Roman" w:hAnsi="Times New Roman" w:eastAsia="仿宋" w:cs="Times New Roman"/>
                <w:sz w:val="24"/>
                <w:szCs w:val="24"/>
              </w:rPr>
              <w:t>开发市场：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合并市场份额为[0-5]％；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北京市写字楼开发运营市场：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合并市场份额为[0-5]％；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上海市写字楼开发运营市场：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合并市场份额为[10</w:t>
            </w:r>
            <w:r>
              <w:rPr>
                <w:rFonts w:hint="eastAsia" w:ascii="Times New Roman" w:hAnsi="Times New Roman" w:eastAsia="仿宋" w:cs="Times New Roman"/>
                <w:sz w:val="24"/>
                <w:szCs w:val="24"/>
              </w:rPr>
              <w:t>-</w:t>
            </w:r>
            <w:r>
              <w:rPr>
                <w:rFonts w:ascii="Times New Roman" w:hAnsi="Times New Roman" w:eastAsia="仿宋" w:cs="Times New Roman"/>
                <w:sz w:val="24"/>
                <w:szCs w:val="24"/>
              </w:rPr>
              <w:t>15]％；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Times New Roman" w:cs="Times New Roman"/>
                <w:sz w:val="14"/>
                <w:szCs w:val="14"/>
              </w:rPr>
              <w:t> </w:t>
            </w:r>
            <w:r>
              <w:rPr>
                <w:rFonts w:hint="eastAsia" w:ascii="仿宋" w:hAnsi="仿宋" w:eastAsia="仿宋"/>
                <w:sz w:val="24"/>
                <w:szCs w:val="24"/>
              </w:rPr>
              <w:t>天津市写字楼开发运营市场：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合并市场份额为[5-10]％；</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（7）</w:t>
            </w:r>
            <w:r>
              <w:rPr>
                <w:rFonts w:hint="eastAsia" w:ascii="仿宋" w:hAnsi="仿宋" w:eastAsia="仿宋"/>
                <w:sz w:val="24"/>
                <w:szCs w:val="24"/>
              </w:rPr>
              <w:t>广州市写字楼开发运营市场：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合并市场份额为[0-5]％；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（8）</w:t>
            </w:r>
            <w:r>
              <w:rPr>
                <w:rFonts w:hint="eastAsia" w:ascii="仿宋" w:hAnsi="仿宋" w:eastAsia="仿宋"/>
                <w:sz w:val="24"/>
                <w:szCs w:val="24"/>
              </w:rPr>
              <w:t>上海市零售商业地产开发运营市场：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合并市场份额为[0-5]％；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（9）</w:t>
            </w:r>
            <w:r>
              <w:rPr>
                <w:rFonts w:hint="eastAsia" w:ascii="Times New Roman" w:hAnsi="Times New Roman" w:eastAsia="仿宋" w:cs="Times New Roman"/>
                <w:sz w:val="24"/>
                <w:szCs w:val="24"/>
              </w:rPr>
              <w:t>天津市零售商业地产开发运营市场：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合并市场份额为[0-5]％；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（10）</w:t>
            </w:r>
            <w:r>
              <w:rPr>
                <w:rFonts w:hint="eastAsia" w:ascii="Times New Roman" w:hAnsi="Times New Roman" w:eastAsia="仿宋" w:cs="Times New Roman"/>
                <w:sz w:val="24"/>
                <w:szCs w:val="24"/>
              </w:rPr>
              <w:t>广州市零售商业地产开发运营市场：</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合并市场份额为[0-5]％；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（11）南京</w:t>
            </w:r>
            <w:r>
              <w:rPr>
                <w:rFonts w:hint="eastAsia" w:ascii="Times New Roman" w:hAnsi="Times New Roman" w:eastAsia="仿宋" w:cs="Times New Roman"/>
                <w:sz w:val="24"/>
                <w:szCs w:val="24"/>
              </w:rPr>
              <w:t>市零售商业地产开发运营市场</w:t>
            </w:r>
            <w:r>
              <w:rPr>
                <w:rFonts w:ascii="Times New Roman" w:hAnsi="Times New Roman" w:eastAsia="仿宋" w:cs="Times New Roman"/>
                <w:sz w:val="24"/>
                <w:szCs w:val="24"/>
              </w:rPr>
              <w:t>：</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合并市场份额为[0-5]％；</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（12）成都</w:t>
            </w:r>
            <w:r>
              <w:rPr>
                <w:rFonts w:hint="eastAsia" w:ascii="Times New Roman" w:hAnsi="Times New Roman" w:eastAsia="仿宋" w:cs="Times New Roman"/>
                <w:sz w:val="24"/>
                <w:szCs w:val="24"/>
              </w:rPr>
              <w:t>市零售商业地产开发运营市场</w:t>
            </w:r>
            <w:r>
              <w:rPr>
                <w:rFonts w:ascii="Times New Roman" w:hAnsi="Times New Roman" w:eastAsia="仿宋" w:cs="Times New Roman"/>
                <w:sz w:val="24"/>
                <w:szCs w:val="24"/>
              </w:rPr>
              <w:t>：</w:t>
            </w:r>
          </w:p>
          <w:p>
            <w:pPr>
              <w:spacing w:before="312" w:beforeLines="100" w:after="312" w:afterLines="100"/>
              <w:rPr>
                <w:rFonts w:ascii="Times New Roman" w:hAnsi="Times New Roman" w:eastAsia="仿宋" w:cs="Times New Roman"/>
                <w:sz w:val="24"/>
                <w:szCs w:val="24"/>
              </w:rPr>
            </w:pPr>
            <w:r>
              <w:rPr>
                <w:rFonts w:ascii="Times New Roman" w:hAnsi="Times New Roman" w:eastAsia="仿宋" w:cs="Times New Roman"/>
                <w:sz w:val="24"/>
                <w:szCs w:val="24"/>
              </w:rPr>
              <w:t>合并的市场份额为[0-5]％。</w:t>
            </w:r>
          </w:p>
        </w:tc>
      </w:tr>
    </w:tbl>
    <w:p>
      <w:pPr>
        <w:rPr>
          <w:rFonts w:ascii="Times New Roman" w:hAnsi="Times New Roman" w:eastAsia="仿宋" w:cs="Times New Roman"/>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Arial">
    <w:panose1 w:val="020B0604020202020204"/>
    <w:charset w:val="00"/>
    <w:family w:val="swiss"/>
    <w:pitch w:val="default"/>
    <w:sig w:usb0="E0002AFF" w:usb1="C0007843" w:usb2="00000009" w:usb3="00000000" w:csb0="400001FF" w:csb1="FFFF0000"/>
  </w:font>
  <w:font w:name="等线 Light">
    <w:altName w:val="宋体"/>
    <w:panose1 w:val="02010600030101010101"/>
    <w:charset w:val="86"/>
    <w:family w:val="auto"/>
    <w:pitch w:val="default"/>
    <w:sig w:usb0="00000000" w:usb1="00000000" w:usb2="00000016" w:usb3="00000000" w:csb0="0004000F" w:csb1="0000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600px;height:356px" o:bullet="t">
        <v:imagedata r:id="rId1" o:title=""/>
      </v:shape>
    </w:pict>
  </w:numPicBullet>
  <w:abstractNum w:abstractNumId="0">
    <w:nsid w:val="2B510EA9"/>
    <w:multiLevelType w:val="multilevel"/>
    <w:tmpl w:val="2B510EA9"/>
    <w:lvl w:ilvl="0" w:tentative="0">
      <w:start w:val="1"/>
      <w:numFmt w:val="chineseCountingThousand"/>
      <w:pStyle w:val="2"/>
      <w:lvlText w:val="%1、"/>
      <w:lvlJc w:val="left"/>
      <w:pPr>
        <w:ind w:left="340" w:hanging="34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2E2B6E03"/>
    <w:multiLevelType w:val="multilevel"/>
    <w:tmpl w:val="2E2B6E03"/>
    <w:lvl w:ilvl="0" w:tentative="0">
      <w:start w:val="1"/>
      <w:numFmt w:val="bullet"/>
      <w:lvlText w:val=""/>
      <w:lvlJc w:val="left"/>
      <w:pPr>
        <w:ind w:left="420" w:hanging="420"/>
      </w:pPr>
      <w:rPr>
        <w:rFonts w:hint="default" w:ascii="Wingdings" w:hAnsi="Wingdings"/>
      </w:rPr>
    </w:lvl>
    <w:lvl w:ilvl="1" w:tentative="0">
      <w:start w:val="1"/>
      <w:numFmt w:val="bullet"/>
      <w:pStyle w:val="22"/>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79F0035"/>
    <w:multiLevelType w:val="multilevel"/>
    <w:tmpl w:val="379F0035"/>
    <w:lvl w:ilvl="0" w:tentative="0">
      <w:start w:val="1"/>
      <w:numFmt w:val="decimal"/>
      <w:pStyle w:val="24"/>
      <w:lvlText w:val="%1."/>
      <w:lvlJc w:val="left"/>
      <w:pPr>
        <w:ind w:left="420" w:hanging="420"/>
      </w:pPr>
      <w:rPr>
        <w:rFonts w:hint="default" w:ascii="Cambria" w:hAnsi="Cambr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8C964D9"/>
    <w:multiLevelType w:val="multilevel"/>
    <w:tmpl w:val="58C964D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E415E2D"/>
    <w:multiLevelType w:val="multilevel"/>
    <w:tmpl w:val="7E415E2D"/>
    <w:lvl w:ilvl="0" w:tentative="0">
      <w:start w:val="1"/>
      <w:numFmt w:val="bullet"/>
      <w:pStyle w:val="26"/>
      <w:lvlText w:val=""/>
      <w:lvlPicBulletId w:val="0"/>
      <w:lvlJc w:val="left"/>
      <w:pPr>
        <w:ind w:left="420" w:hanging="420"/>
      </w:pPr>
      <w:rPr>
        <w:rFonts w:hint="default" w:ascii="Symbol" w:hAnsi="Symbol"/>
        <w:color w:val="auto"/>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DB8"/>
    <w:rsid w:val="00015FC8"/>
    <w:rsid w:val="0010582A"/>
    <w:rsid w:val="0016192B"/>
    <w:rsid w:val="0018101D"/>
    <w:rsid w:val="00193195"/>
    <w:rsid w:val="001A7C43"/>
    <w:rsid w:val="001E369F"/>
    <w:rsid w:val="001F5793"/>
    <w:rsid w:val="00214281"/>
    <w:rsid w:val="00252204"/>
    <w:rsid w:val="00257946"/>
    <w:rsid w:val="0035059E"/>
    <w:rsid w:val="003A000E"/>
    <w:rsid w:val="003A3377"/>
    <w:rsid w:val="003A48E8"/>
    <w:rsid w:val="00455122"/>
    <w:rsid w:val="0046327E"/>
    <w:rsid w:val="00467A07"/>
    <w:rsid w:val="0048747D"/>
    <w:rsid w:val="004D7571"/>
    <w:rsid w:val="004E6890"/>
    <w:rsid w:val="00513AC8"/>
    <w:rsid w:val="00550556"/>
    <w:rsid w:val="005613C4"/>
    <w:rsid w:val="00564529"/>
    <w:rsid w:val="005720AF"/>
    <w:rsid w:val="005B2A99"/>
    <w:rsid w:val="00614656"/>
    <w:rsid w:val="00645ED2"/>
    <w:rsid w:val="00691613"/>
    <w:rsid w:val="006B141A"/>
    <w:rsid w:val="006F52A9"/>
    <w:rsid w:val="006F6608"/>
    <w:rsid w:val="00716F04"/>
    <w:rsid w:val="00733A01"/>
    <w:rsid w:val="007347C1"/>
    <w:rsid w:val="00777B26"/>
    <w:rsid w:val="007F546C"/>
    <w:rsid w:val="007F7CF8"/>
    <w:rsid w:val="00804B00"/>
    <w:rsid w:val="008C1613"/>
    <w:rsid w:val="008E11B8"/>
    <w:rsid w:val="008F4DB8"/>
    <w:rsid w:val="00914B01"/>
    <w:rsid w:val="00946F2C"/>
    <w:rsid w:val="00971E59"/>
    <w:rsid w:val="009B4D8F"/>
    <w:rsid w:val="009C69F2"/>
    <w:rsid w:val="009D15FE"/>
    <w:rsid w:val="00A22BD5"/>
    <w:rsid w:val="00AA17A9"/>
    <w:rsid w:val="00AD0A31"/>
    <w:rsid w:val="00AE1215"/>
    <w:rsid w:val="00B36BD6"/>
    <w:rsid w:val="00B46DC3"/>
    <w:rsid w:val="00B6655D"/>
    <w:rsid w:val="00B95FDE"/>
    <w:rsid w:val="00B97602"/>
    <w:rsid w:val="00BE3B13"/>
    <w:rsid w:val="00C279D5"/>
    <w:rsid w:val="00D108C1"/>
    <w:rsid w:val="00DB4BDD"/>
    <w:rsid w:val="00DF679E"/>
    <w:rsid w:val="00E07C5A"/>
    <w:rsid w:val="00E20E7E"/>
    <w:rsid w:val="00E300D8"/>
    <w:rsid w:val="00E8293E"/>
    <w:rsid w:val="00E96475"/>
    <w:rsid w:val="00EC49F5"/>
    <w:rsid w:val="00EE3D50"/>
    <w:rsid w:val="00F249AA"/>
    <w:rsid w:val="00F8158A"/>
    <w:rsid w:val="3EF9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semiHidden="0" w:name="heading 2"/>
    <w:lsdException w:qFormat="1" w:uiPriority="99" w:semiHidden="0"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link w:val="18"/>
    <w:qFormat/>
    <w:uiPriority w:val="99"/>
    <w:pPr>
      <w:keepNext/>
      <w:numPr>
        <w:ilvl w:val="0"/>
        <w:numId w:val="1"/>
      </w:numPr>
      <w:tabs>
        <w:tab w:val="left" w:pos="504"/>
      </w:tabs>
      <w:spacing w:before="120" w:line="276" w:lineRule="auto"/>
      <w:contextualSpacing/>
      <w:jc w:val="both"/>
      <w:outlineLvl w:val="0"/>
    </w:pPr>
    <w:rPr>
      <w:rFonts w:ascii="微软雅黑" w:hAnsi="微软雅黑" w:eastAsia="微软雅黑" w:cstheme="majorBidi"/>
      <w:smallCaps/>
      <w:spacing w:val="5"/>
      <w:kern w:val="0"/>
      <w:sz w:val="24"/>
      <w:szCs w:val="24"/>
      <w:lang w:val="en-US" w:eastAsia="zh-CN" w:bidi="ar-SA"/>
    </w:rPr>
  </w:style>
  <w:style w:type="paragraph" w:styleId="3">
    <w:name w:val="heading 2"/>
    <w:next w:val="1"/>
    <w:link w:val="20"/>
    <w:unhideWhenUsed/>
    <w:qFormat/>
    <w:uiPriority w:val="99"/>
    <w:pPr>
      <w:spacing w:before="240" w:line="271" w:lineRule="auto"/>
      <w:outlineLvl w:val="1"/>
    </w:pPr>
    <w:rPr>
      <w:rFonts w:ascii="微软雅黑" w:hAnsi="微软雅黑" w:eastAsia="微软雅黑" w:cstheme="majorBidi"/>
      <w:smallCaps/>
      <w:kern w:val="0"/>
      <w:sz w:val="24"/>
      <w:szCs w:val="24"/>
      <w:lang w:val="en-US" w:eastAsia="zh-CN" w:bidi="ar-SA"/>
    </w:rPr>
  </w:style>
  <w:style w:type="paragraph" w:styleId="4">
    <w:name w:val="heading 3"/>
    <w:basedOn w:val="1"/>
    <w:next w:val="1"/>
    <w:link w:val="21"/>
    <w:unhideWhenUsed/>
    <w:qFormat/>
    <w:uiPriority w:val="99"/>
    <w:pPr>
      <w:spacing w:before="200" w:line="271" w:lineRule="auto"/>
      <w:outlineLvl w:val="2"/>
    </w:pPr>
    <w:rPr>
      <w:i/>
      <w:iCs/>
      <w:smallCaps/>
      <w:spacing w:val="5"/>
      <w:sz w:val="26"/>
      <w:szCs w:val="26"/>
    </w:rPr>
  </w:style>
  <w:style w:type="paragraph" w:styleId="5">
    <w:name w:val="heading 4"/>
    <w:basedOn w:val="1"/>
    <w:next w:val="1"/>
    <w:link w:val="29"/>
    <w:semiHidden/>
    <w:unhideWhenUsed/>
    <w:qFormat/>
    <w:uiPriority w:val="99"/>
    <w:pPr>
      <w:widowControl/>
      <w:tabs>
        <w:tab w:val="left" w:pos="1418"/>
        <w:tab w:val="left" w:pos="2126"/>
        <w:tab w:val="left" w:pos="2835"/>
        <w:tab w:val="left" w:pos="3544"/>
        <w:tab w:val="left" w:pos="4253"/>
        <w:tab w:val="left" w:pos="4961"/>
        <w:tab w:val="left" w:pos="5670"/>
        <w:tab w:val="right" w:pos="8363"/>
      </w:tabs>
      <w:spacing w:after="280" w:line="280" w:lineRule="atLeast"/>
      <w:ind w:left="2126" w:hanging="708"/>
      <w:jc w:val="left"/>
      <w:outlineLvl w:val="3"/>
    </w:pPr>
    <w:rPr>
      <w:rFonts w:ascii="Arial" w:hAnsi="Arial" w:eastAsia="宋体" w:cs="Times New Roman"/>
      <w:kern w:val="16"/>
      <w:sz w:val="20"/>
      <w:szCs w:val="20"/>
      <w:lang w:val="en-GB" w:eastAsia="en-US"/>
    </w:rPr>
  </w:style>
  <w:style w:type="paragraph" w:styleId="6">
    <w:name w:val="heading 5"/>
    <w:basedOn w:val="1"/>
    <w:next w:val="1"/>
    <w:link w:val="30"/>
    <w:semiHidden/>
    <w:unhideWhenUsed/>
    <w:qFormat/>
    <w:uiPriority w:val="99"/>
    <w:pPr>
      <w:widowControl/>
      <w:tabs>
        <w:tab w:val="left" w:pos="1418"/>
        <w:tab w:val="left" w:pos="2126"/>
        <w:tab w:val="left" w:pos="2835"/>
        <w:tab w:val="left" w:pos="3544"/>
        <w:tab w:val="left" w:pos="4253"/>
        <w:tab w:val="left" w:pos="4961"/>
        <w:tab w:val="left" w:pos="5670"/>
        <w:tab w:val="right" w:pos="8363"/>
      </w:tabs>
      <w:spacing w:after="280" w:line="280" w:lineRule="atLeast"/>
      <w:ind w:left="2835" w:hanging="708"/>
      <w:jc w:val="left"/>
      <w:outlineLvl w:val="4"/>
    </w:pPr>
    <w:rPr>
      <w:rFonts w:ascii="Arial" w:hAnsi="Arial" w:eastAsia="宋体" w:cs="Times New Roman"/>
      <w:kern w:val="16"/>
      <w:sz w:val="20"/>
      <w:szCs w:val="20"/>
      <w:lang w:val="en-GB" w:eastAsia="en-US"/>
    </w:rPr>
  </w:style>
  <w:style w:type="paragraph" w:styleId="7">
    <w:name w:val="heading 6"/>
    <w:basedOn w:val="1"/>
    <w:next w:val="1"/>
    <w:link w:val="31"/>
    <w:semiHidden/>
    <w:unhideWhenUsed/>
    <w:qFormat/>
    <w:uiPriority w:val="99"/>
    <w:pPr>
      <w:widowControl/>
      <w:tabs>
        <w:tab w:val="left" w:pos="1418"/>
        <w:tab w:val="left" w:pos="2126"/>
        <w:tab w:val="left" w:pos="2835"/>
        <w:tab w:val="left" w:pos="3544"/>
        <w:tab w:val="left" w:pos="4253"/>
        <w:tab w:val="left" w:pos="4961"/>
        <w:tab w:val="left" w:pos="5670"/>
        <w:tab w:val="right" w:pos="8363"/>
      </w:tabs>
      <w:spacing w:after="280" w:line="280" w:lineRule="atLeast"/>
      <w:ind w:left="3544" w:hanging="708"/>
      <w:jc w:val="left"/>
      <w:outlineLvl w:val="5"/>
    </w:pPr>
    <w:rPr>
      <w:rFonts w:ascii="Arial" w:hAnsi="Arial" w:eastAsia="宋体" w:cs="Times New Roman"/>
      <w:kern w:val="16"/>
      <w:sz w:val="20"/>
      <w:szCs w:val="20"/>
      <w:lang w:val="en-GB" w:eastAsia="en-US"/>
    </w:rPr>
  </w:style>
  <w:style w:type="paragraph" w:styleId="8">
    <w:name w:val="heading 7"/>
    <w:basedOn w:val="1"/>
    <w:next w:val="1"/>
    <w:link w:val="32"/>
    <w:semiHidden/>
    <w:unhideWhenUsed/>
    <w:qFormat/>
    <w:uiPriority w:val="99"/>
    <w:pPr>
      <w:widowControl/>
      <w:tabs>
        <w:tab w:val="left" w:pos="1418"/>
        <w:tab w:val="left" w:pos="2126"/>
        <w:tab w:val="left" w:pos="2835"/>
        <w:tab w:val="left" w:pos="3544"/>
        <w:tab w:val="left" w:pos="4253"/>
        <w:tab w:val="left" w:pos="4961"/>
        <w:tab w:val="left" w:pos="5670"/>
        <w:tab w:val="right" w:pos="8363"/>
      </w:tabs>
      <w:spacing w:after="280" w:line="280" w:lineRule="atLeast"/>
      <w:ind w:left="4253" w:hanging="708"/>
      <w:jc w:val="left"/>
      <w:outlineLvl w:val="6"/>
    </w:pPr>
    <w:rPr>
      <w:rFonts w:ascii="Arial" w:hAnsi="Arial" w:eastAsia="宋体" w:cs="Times New Roman"/>
      <w:kern w:val="16"/>
      <w:sz w:val="20"/>
      <w:szCs w:val="20"/>
      <w:lang w:val="en-GB" w:eastAsia="en-US"/>
    </w:rPr>
  </w:style>
  <w:style w:type="paragraph" w:styleId="9">
    <w:name w:val="heading 8"/>
    <w:basedOn w:val="1"/>
    <w:next w:val="1"/>
    <w:link w:val="33"/>
    <w:semiHidden/>
    <w:unhideWhenUsed/>
    <w:qFormat/>
    <w:uiPriority w:val="99"/>
    <w:pPr>
      <w:widowControl/>
      <w:tabs>
        <w:tab w:val="left" w:pos="1418"/>
        <w:tab w:val="left" w:pos="2126"/>
        <w:tab w:val="left" w:pos="2835"/>
        <w:tab w:val="left" w:pos="3544"/>
        <w:tab w:val="left" w:pos="4253"/>
        <w:tab w:val="left" w:pos="4961"/>
        <w:tab w:val="left" w:pos="5670"/>
        <w:tab w:val="right" w:pos="8363"/>
      </w:tabs>
      <w:spacing w:after="280" w:line="280" w:lineRule="atLeast"/>
      <w:ind w:left="4961" w:hanging="708"/>
      <w:jc w:val="left"/>
      <w:outlineLvl w:val="7"/>
    </w:pPr>
    <w:rPr>
      <w:rFonts w:ascii="Arial" w:hAnsi="Arial" w:eastAsia="宋体" w:cs="Times New Roman"/>
      <w:kern w:val="16"/>
      <w:sz w:val="20"/>
      <w:szCs w:val="20"/>
      <w:lang w:val="en-GB" w:eastAsia="en-US"/>
    </w:rPr>
  </w:style>
  <w:style w:type="paragraph" w:styleId="10">
    <w:name w:val="heading 9"/>
    <w:basedOn w:val="1"/>
    <w:next w:val="1"/>
    <w:link w:val="34"/>
    <w:semiHidden/>
    <w:unhideWhenUsed/>
    <w:qFormat/>
    <w:uiPriority w:val="99"/>
    <w:pPr>
      <w:widowControl/>
      <w:tabs>
        <w:tab w:val="left" w:pos="1418"/>
        <w:tab w:val="left" w:pos="2126"/>
        <w:tab w:val="left" w:pos="2835"/>
        <w:tab w:val="left" w:pos="3544"/>
        <w:tab w:val="left" w:pos="4253"/>
        <w:tab w:val="left" w:pos="4961"/>
        <w:tab w:val="right" w:pos="5670"/>
        <w:tab w:val="right" w:pos="8363"/>
      </w:tabs>
      <w:spacing w:after="280" w:line="280" w:lineRule="atLeast"/>
      <w:ind w:left="5670" w:hanging="708"/>
      <w:jc w:val="left"/>
      <w:outlineLvl w:val="8"/>
    </w:pPr>
    <w:rPr>
      <w:rFonts w:ascii="Arial" w:hAnsi="Arial" w:eastAsia="宋体" w:cs="Times New Roman"/>
      <w:kern w:val="16"/>
      <w:sz w:val="20"/>
      <w:szCs w:val="20"/>
      <w:lang w:val="en-GB" w:eastAsia="en-US"/>
    </w:rPr>
  </w:style>
  <w:style w:type="character" w:default="1" w:styleId="15">
    <w:name w:val="Default Paragraph Font"/>
    <w:semiHidden/>
    <w:unhideWhenUsed/>
    <w:qFormat/>
    <w:uiPriority w:val="1"/>
  </w:style>
  <w:style w:type="table" w:default="1" w:styleId="17">
    <w:name w:val="Normal Table"/>
    <w:semiHidden/>
    <w:unhideWhenUsed/>
    <w:qFormat/>
    <w:uiPriority w:val="99"/>
    <w:tblPr>
      <w:tblLayout w:type="fixed"/>
      <w:tblCellMar>
        <w:top w:w="0" w:type="dxa"/>
        <w:left w:w="108" w:type="dxa"/>
        <w:bottom w:w="0" w:type="dxa"/>
        <w:right w:w="108" w:type="dxa"/>
      </w:tblCellMar>
    </w:tblPr>
  </w:style>
  <w:style w:type="paragraph" w:styleId="11">
    <w:name w:val="Balloon Text"/>
    <w:basedOn w:val="1"/>
    <w:link w:val="36"/>
    <w:semiHidden/>
    <w:unhideWhenUsed/>
    <w:uiPriority w:val="99"/>
    <w:rPr>
      <w:sz w:val="18"/>
      <w:szCs w:val="18"/>
    </w:rPr>
  </w:style>
  <w:style w:type="paragraph" w:styleId="12">
    <w:name w:val="footer"/>
    <w:basedOn w:val="1"/>
    <w:link w:val="28"/>
    <w:unhideWhenUsed/>
    <w:uiPriority w:val="99"/>
    <w:pPr>
      <w:tabs>
        <w:tab w:val="center" w:pos="4153"/>
        <w:tab w:val="right" w:pos="8306"/>
      </w:tabs>
      <w:snapToGrid w:val="0"/>
      <w:jc w:val="left"/>
    </w:pPr>
    <w:rPr>
      <w:sz w:val="18"/>
    </w:rPr>
  </w:style>
  <w:style w:type="paragraph" w:styleId="13">
    <w:name w:val="header"/>
    <w:basedOn w:val="1"/>
    <w:link w:val="27"/>
    <w:unhideWhenUsed/>
    <w:uiPriority w:val="99"/>
    <w:pPr>
      <w:pBdr>
        <w:bottom w:val="single" w:color="auto" w:sz="6" w:space="1"/>
      </w:pBdr>
      <w:tabs>
        <w:tab w:val="center" w:pos="4153"/>
        <w:tab w:val="right" w:pos="8306"/>
      </w:tabs>
      <w:snapToGrid w:val="0"/>
      <w:jc w:val="center"/>
    </w:pPr>
    <w:rPr>
      <w:sz w:val="18"/>
    </w:rPr>
  </w:style>
  <w:style w:type="paragraph" w:styleId="14">
    <w:name w:val="Title"/>
    <w:next w:val="1"/>
    <w:link w:val="19"/>
    <w:qFormat/>
    <w:uiPriority w:val="10"/>
    <w:pPr>
      <w:spacing w:before="936" w:beforeLines="300" w:after="360"/>
      <w:ind w:left="1050" w:leftChars="500" w:right="1050" w:rightChars="500"/>
      <w:contextualSpacing/>
      <w:jc w:val="center"/>
    </w:pPr>
    <w:rPr>
      <w:rFonts w:ascii="微软雅黑" w:hAnsi="微软雅黑" w:eastAsia="微软雅黑" w:cstheme="majorBidi"/>
      <w:smallCaps/>
      <w:kern w:val="0"/>
      <w:sz w:val="32"/>
      <w:szCs w:val="32"/>
      <w:lang w:val="en-US" w:eastAsia="zh-CN" w:bidi="ar-SA"/>
    </w:rPr>
  </w:style>
  <w:style w:type="character" w:styleId="16">
    <w:name w:val="Hyperlink"/>
    <w:basedOn w:val="15"/>
    <w:semiHidden/>
    <w:unhideWhenUsed/>
    <w:uiPriority w:val="99"/>
    <w:rPr>
      <w:color w:val="0563C1" w:themeColor="hyperlink"/>
      <w:u w:val="single"/>
      <w14:textFill>
        <w14:solidFill>
          <w14:schemeClr w14:val="hlink"/>
        </w14:solidFill>
      </w14:textFill>
    </w:rPr>
  </w:style>
  <w:style w:type="character" w:customStyle="1" w:styleId="18">
    <w:name w:val="标题 1 Char"/>
    <w:basedOn w:val="15"/>
    <w:link w:val="2"/>
    <w:qFormat/>
    <w:uiPriority w:val="99"/>
    <w:rPr>
      <w:rFonts w:ascii="微软雅黑" w:hAnsi="微软雅黑" w:eastAsia="微软雅黑" w:cstheme="majorBidi"/>
      <w:smallCaps/>
      <w:spacing w:val="5"/>
      <w:kern w:val="0"/>
      <w:sz w:val="24"/>
      <w:szCs w:val="24"/>
    </w:rPr>
  </w:style>
  <w:style w:type="character" w:customStyle="1" w:styleId="19">
    <w:name w:val="标题 Char"/>
    <w:basedOn w:val="15"/>
    <w:link w:val="14"/>
    <w:qFormat/>
    <w:uiPriority w:val="10"/>
    <w:rPr>
      <w:rFonts w:ascii="微软雅黑" w:hAnsi="微软雅黑" w:eastAsia="微软雅黑" w:cstheme="majorBidi"/>
      <w:smallCaps/>
      <w:kern w:val="0"/>
      <w:sz w:val="32"/>
      <w:szCs w:val="32"/>
    </w:rPr>
  </w:style>
  <w:style w:type="character" w:customStyle="1" w:styleId="20">
    <w:name w:val="标题 2 Char"/>
    <w:basedOn w:val="15"/>
    <w:link w:val="3"/>
    <w:qFormat/>
    <w:uiPriority w:val="9"/>
    <w:rPr>
      <w:rFonts w:ascii="微软雅黑" w:hAnsi="微软雅黑" w:eastAsia="微软雅黑" w:cstheme="majorBidi"/>
      <w:smallCaps/>
      <w:kern w:val="0"/>
      <w:sz w:val="24"/>
      <w:szCs w:val="24"/>
    </w:rPr>
  </w:style>
  <w:style w:type="character" w:customStyle="1" w:styleId="21">
    <w:name w:val="标题 3 Char"/>
    <w:basedOn w:val="15"/>
    <w:link w:val="4"/>
    <w:qFormat/>
    <w:uiPriority w:val="9"/>
    <w:rPr>
      <w:rFonts w:asciiTheme="majorHAnsi" w:hAnsiTheme="majorHAnsi" w:eastAsiaTheme="majorEastAsia" w:cstheme="majorBidi"/>
      <w:i/>
      <w:iCs/>
      <w:smallCaps/>
      <w:color w:val="000000"/>
      <w:spacing w:val="5"/>
      <w:kern w:val="0"/>
      <w:sz w:val="26"/>
      <w:szCs w:val="26"/>
    </w:rPr>
  </w:style>
  <w:style w:type="paragraph" w:customStyle="1" w:styleId="22">
    <w:name w:val="项目符号"/>
    <w:link w:val="23"/>
    <w:qFormat/>
    <w:uiPriority w:val="0"/>
    <w:pPr>
      <w:numPr>
        <w:ilvl w:val="1"/>
        <w:numId w:val="2"/>
      </w:numPr>
      <w:spacing w:before="60" w:line="276" w:lineRule="auto"/>
      <w:jc w:val="both"/>
    </w:pPr>
    <w:rPr>
      <w:rFonts w:ascii="Cambria" w:hAnsi="Cambria" w:eastAsia="宋体" w:cstheme="majorBidi"/>
      <w:color w:val="000000"/>
      <w:kern w:val="0"/>
      <w:sz w:val="21"/>
      <w:szCs w:val="21"/>
      <w:lang w:val="en-US" w:eastAsia="zh-CN" w:bidi="ar-SA"/>
    </w:rPr>
  </w:style>
  <w:style w:type="character" w:customStyle="1" w:styleId="23">
    <w:name w:val="项目符号 Char"/>
    <w:basedOn w:val="15"/>
    <w:link w:val="22"/>
    <w:qFormat/>
    <w:uiPriority w:val="0"/>
    <w:rPr>
      <w:rFonts w:ascii="Cambria" w:hAnsi="Cambria" w:eastAsia="宋体" w:cstheme="majorBidi"/>
      <w:color w:val="000000"/>
      <w:kern w:val="0"/>
      <w:szCs w:val="21"/>
    </w:rPr>
  </w:style>
  <w:style w:type="paragraph" w:customStyle="1" w:styleId="24">
    <w:name w:val="编号"/>
    <w:link w:val="25"/>
    <w:qFormat/>
    <w:uiPriority w:val="0"/>
    <w:pPr>
      <w:numPr>
        <w:ilvl w:val="0"/>
        <w:numId w:val="3"/>
      </w:numPr>
      <w:spacing w:before="60" w:line="240" w:lineRule="atLeast"/>
      <w:jc w:val="both"/>
    </w:pPr>
    <w:rPr>
      <w:rFonts w:ascii="ˎ̥" w:hAnsi="ˎ̥" w:eastAsia="宋体" w:cs="宋体"/>
      <w:color w:val="000000"/>
      <w:kern w:val="0"/>
      <w:sz w:val="21"/>
      <w:szCs w:val="21"/>
      <w:lang w:val="en-US" w:eastAsia="zh-CN" w:bidi="ar-SA"/>
    </w:rPr>
  </w:style>
  <w:style w:type="character" w:customStyle="1" w:styleId="25">
    <w:name w:val="编号 Char"/>
    <w:basedOn w:val="15"/>
    <w:link w:val="24"/>
    <w:uiPriority w:val="0"/>
    <w:rPr>
      <w:rFonts w:ascii="ˎ̥" w:hAnsi="ˎ̥" w:eastAsia="宋体" w:cs="宋体"/>
      <w:color w:val="000000"/>
      <w:kern w:val="0"/>
      <w:szCs w:val="21"/>
    </w:rPr>
  </w:style>
  <w:style w:type="paragraph" w:customStyle="1" w:styleId="26">
    <w:name w:val="项目符号列表"/>
    <w:qFormat/>
    <w:uiPriority w:val="0"/>
    <w:pPr>
      <w:numPr>
        <w:ilvl w:val="0"/>
        <w:numId w:val="4"/>
      </w:numPr>
      <w:spacing w:before="50" w:beforeLines="50" w:after="50" w:afterLines="50"/>
    </w:pPr>
    <w:rPr>
      <w:rFonts w:asciiTheme="minorHAnsi" w:hAnsiTheme="minorHAnsi" w:eastAsiaTheme="minorEastAsia" w:cstheme="minorBidi"/>
      <w:kern w:val="2"/>
      <w:sz w:val="21"/>
      <w:szCs w:val="22"/>
      <w:lang w:val="en-US" w:eastAsia="zh-CN" w:bidi="ar-SA"/>
    </w:rPr>
  </w:style>
  <w:style w:type="character" w:customStyle="1" w:styleId="27">
    <w:name w:val="页眉 Char"/>
    <w:basedOn w:val="15"/>
    <w:link w:val="13"/>
    <w:uiPriority w:val="99"/>
    <w:rPr>
      <w:rFonts w:asciiTheme="majorHAnsi" w:hAnsiTheme="majorHAnsi" w:eastAsiaTheme="majorEastAsia" w:cstheme="majorBidi"/>
      <w:color w:val="000000"/>
      <w:kern w:val="0"/>
      <w:sz w:val="18"/>
      <w:szCs w:val="18"/>
    </w:rPr>
  </w:style>
  <w:style w:type="character" w:customStyle="1" w:styleId="28">
    <w:name w:val="页脚 Char"/>
    <w:basedOn w:val="15"/>
    <w:link w:val="12"/>
    <w:uiPriority w:val="99"/>
    <w:rPr>
      <w:rFonts w:asciiTheme="majorHAnsi" w:hAnsiTheme="majorHAnsi" w:eastAsiaTheme="majorEastAsia" w:cstheme="majorBidi"/>
      <w:color w:val="000000"/>
      <w:kern w:val="0"/>
      <w:sz w:val="18"/>
      <w:szCs w:val="18"/>
    </w:rPr>
  </w:style>
  <w:style w:type="character" w:customStyle="1" w:styleId="29">
    <w:name w:val="标题 4 Char"/>
    <w:basedOn w:val="15"/>
    <w:link w:val="5"/>
    <w:semiHidden/>
    <w:uiPriority w:val="99"/>
    <w:rPr>
      <w:rFonts w:ascii="Arial" w:hAnsi="Arial" w:eastAsia="宋体" w:cs="Times New Roman"/>
      <w:kern w:val="16"/>
      <w:sz w:val="20"/>
      <w:szCs w:val="20"/>
      <w:lang w:val="en-GB" w:eastAsia="en-US"/>
    </w:rPr>
  </w:style>
  <w:style w:type="character" w:customStyle="1" w:styleId="30">
    <w:name w:val="标题 5 Char"/>
    <w:basedOn w:val="15"/>
    <w:link w:val="6"/>
    <w:semiHidden/>
    <w:uiPriority w:val="99"/>
    <w:rPr>
      <w:rFonts w:ascii="Arial" w:hAnsi="Arial" w:eastAsia="宋体" w:cs="Times New Roman"/>
      <w:kern w:val="16"/>
      <w:sz w:val="20"/>
      <w:szCs w:val="20"/>
      <w:lang w:val="en-GB" w:eastAsia="en-US"/>
    </w:rPr>
  </w:style>
  <w:style w:type="character" w:customStyle="1" w:styleId="31">
    <w:name w:val="标题 6 Char"/>
    <w:basedOn w:val="15"/>
    <w:link w:val="7"/>
    <w:semiHidden/>
    <w:uiPriority w:val="99"/>
    <w:rPr>
      <w:rFonts w:ascii="Arial" w:hAnsi="Arial" w:eastAsia="宋体" w:cs="Times New Roman"/>
      <w:kern w:val="16"/>
      <w:sz w:val="20"/>
      <w:szCs w:val="20"/>
      <w:lang w:val="en-GB" w:eastAsia="en-US"/>
    </w:rPr>
  </w:style>
  <w:style w:type="character" w:customStyle="1" w:styleId="32">
    <w:name w:val="标题 7 Char"/>
    <w:basedOn w:val="15"/>
    <w:link w:val="8"/>
    <w:semiHidden/>
    <w:uiPriority w:val="99"/>
    <w:rPr>
      <w:rFonts w:ascii="Arial" w:hAnsi="Arial" w:eastAsia="宋体" w:cs="Times New Roman"/>
      <w:kern w:val="16"/>
      <w:sz w:val="20"/>
      <w:szCs w:val="20"/>
      <w:lang w:val="en-GB" w:eastAsia="en-US"/>
    </w:rPr>
  </w:style>
  <w:style w:type="character" w:customStyle="1" w:styleId="33">
    <w:name w:val="标题 8 Char"/>
    <w:basedOn w:val="15"/>
    <w:link w:val="9"/>
    <w:semiHidden/>
    <w:uiPriority w:val="99"/>
    <w:rPr>
      <w:rFonts w:ascii="Arial" w:hAnsi="Arial" w:eastAsia="宋体" w:cs="Times New Roman"/>
      <w:kern w:val="16"/>
      <w:sz w:val="20"/>
      <w:szCs w:val="20"/>
      <w:lang w:val="en-GB" w:eastAsia="en-US"/>
    </w:rPr>
  </w:style>
  <w:style w:type="character" w:customStyle="1" w:styleId="34">
    <w:name w:val="标题 9 Char"/>
    <w:basedOn w:val="15"/>
    <w:link w:val="10"/>
    <w:semiHidden/>
    <w:qFormat/>
    <w:uiPriority w:val="99"/>
    <w:rPr>
      <w:rFonts w:ascii="Arial" w:hAnsi="Arial" w:eastAsia="宋体" w:cs="Times New Roman"/>
      <w:kern w:val="16"/>
      <w:sz w:val="20"/>
      <w:szCs w:val="20"/>
      <w:lang w:val="en-GB" w:eastAsia="en-US"/>
    </w:rPr>
  </w:style>
  <w:style w:type="paragraph" w:styleId="35">
    <w:name w:val="List Paragraph"/>
    <w:basedOn w:val="1"/>
    <w:qFormat/>
    <w:uiPriority w:val="34"/>
    <w:pPr>
      <w:ind w:firstLine="420" w:firstLineChars="200"/>
    </w:pPr>
  </w:style>
  <w:style w:type="character" w:customStyle="1" w:styleId="36">
    <w:name w:val="批注框文本 Char"/>
    <w:basedOn w:val="15"/>
    <w:link w:val="11"/>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749BBD-692F-4ED2-8F2C-2AAD484F1CEB}">
  <ds:schemaRefs/>
</ds:datastoreItem>
</file>

<file path=docProps/app.xml><?xml version="1.0" encoding="utf-8"?>
<Properties xmlns="http://schemas.openxmlformats.org/officeDocument/2006/extended-properties" xmlns:vt="http://schemas.openxmlformats.org/officeDocument/2006/docPropsVTypes">
  <Template>Normal</Template>
  <Pages>3</Pages>
  <Words>175</Words>
  <Characters>1002</Characters>
  <Lines>8</Lines>
  <Paragraphs>2</Paragraphs>
  <TotalTime>26</TotalTime>
  <ScaleCrop>false</ScaleCrop>
  <LinksUpToDate>false</LinksUpToDate>
  <CharactersWithSpaces>1175</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2019-12-12T09:05:00Z</dcterms:created>
  <dc:creator>Zhang, Mengci</dc:creator>
  <cp:lastModifiedBy>user</cp:lastModifiedBy>
  <dcterms:modified xsi:type="dcterms:W3CDTF">2020-01-07T09:44:43Z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