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"/>
          <w:b/>
          <w:sz w:val="32"/>
          <w:szCs w:val="32"/>
        </w:rPr>
      </w:pPr>
      <w:r>
        <w:rPr>
          <w:rFonts w:ascii="Times New Roman" w:hAnsi="Times New Roman" w:eastAsia="仿宋"/>
          <w:b/>
          <w:sz w:val="32"/>
          <w:szCs w:val="32"/>
        </w:rPr>
        <w:t>经营者集中简易案件公示表</w:t>
      </w:r>
    </w:p>
    <w:p>
      <w:pPr>
        <w:spacing w:line="440" w:lineRule="exact"/>
        <w:jc w:val="center"/>
        <w:rPr>
          <w:rFonts w:ascii="Times New Roman" w:hAnsi="Times New Roman" w:eastAsia="仿宋"/>
          <w:b/>
          <w:sz w:val="24"/>
          <w:szCs w:val="24"/>
        </w:rPr>
      </w:pPr>
    </w:p>
    <w:tbl>
      <w:tblPr>
        <w:tblStyle w:val="15"/>
        <w:tblW w:w="960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843"/>
        <w:gridCol w:w="59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809" w:type="dxa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案件名称</w:t>
            </w:r>
          </w:p>
        </w:tc>
        <w:tc>
          <w:tcPr>
            <w:tcW w:w="779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美蓓亚三美株式会社收购艾普凌科有限公司股权案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  <w:jc w:val="center"/>
        </w:trPr>
        <w:tc>
          <w:tcPr>
            <w:tcW w:w="1809" w:type="dxa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交易概况（限200字内）</w:t>
            </w:r>
          </w:p>
        </w:tc>
        <w:tc>
          <w:tcPr>
            <w:tcW w:w="7797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本次交易涉及美蓓亚三美株式会社（“</w:t>
            </w:r>
            <w:r>
              <w:rPr>
                <w:rFonts w:hint="eastAsia" w:ascii="Times New Roman" w:hAnsi="Times New Roman" w:eastAsia="仿宋"/>
                <w:b/>
                <w:sz w:val="24"/>
                <w:szCs w:val="24"/>
              </w:rPr>
              <w:t>美蓓亚三美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”）收购艾普凌科有限公司（“</w:t>
            </w:r>
            <w:r>
              <w:rPr>
                <w:rFonts w:hint="eastAsia" w:ascii="Times New Roman" w:hAnsi="Times New Roman" w:eastAsia="仿宋"/>
                <w:b/>
                <w:sz w:val="24"/>
                <w:szCs w:val="24"/>
              </w:rPr>
              <w:t>艾普凌科</w:t>
            </w:r>
            <w:r>
              <w:rPr>
                <w:rFonts w:hint="eastAsia" w:ascii="Times New Roman" w:hAnsi="Times New Roman" w:eastAsia="仿宋"/>
                <w:sz w:val="24"/>
                <w:szCs w:val="24"/>
              </w:rPr>
              <w:t>”）100%的股权。本次交易前，艾普凌科由日本政策投资银行单独控制。本次交易完成后，艾普凌科将由美蓓亚三美单独控制。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  <w:jc w:val="center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参与集中的经营者简介</w:t>
            </w:r>
          </w:p>
        </w:tc>
        <w:tc>
          <w:tcPr>
            <w:tcW w:w="1843" w:type="dxa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  <w:lang w:val="en-GB"/>
              </w:rPr>
              <w:t>美蓓亚三美</w:t>
            </w:r>
          </w:p>
        </w:tc>
        <w:tc>
          <w:tcPr>
            <w:tcW w:w="5954" w:type="dxa"/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bCs/>
                <w:sz w:val="24"/>
                <w:szCs w:val="24"/>
              </w:rPr>
              <w:t>美蓓亚三美集团由美蓓亚三美株式会社及94家子公司组成，主要业务为机械加工品、电子设备及零部件产品的制造与销售等。产品的制造由美蓓亚三美株式会社及国内子公司以及位于美国、欧洲及亚洲各国的各子公司分别负责。产品的销售在日本境内主要由美蓓亚三美株式会社直接负责，在海外则通过位于美国、欧洲、亚洲各国的子公司及美蓓亚三美株式会社的分公司进行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  <w:jc w:val="center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1843" w:type="dxa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  <w:lang w:val="en-GB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  <w:lang w:val="en-GB"/>
              </w:rPr>
              <w:t>艾普凌科</w:t>
            </w:r>
          </w:p>
        </w:tc>
        <w:tc>
          <w:tcPr>
            <w:tcW w:w="5954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sz w:val="24"/>
                <w:szCs w:val="24"/>
              </w:rPr>
              <w:t>艾普凌科及其在日本的关联实体主要从事半导体的开发、制造和销售。艾普凌科在日本境外的关联实体主要从事半导体销售业务。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9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b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779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36"/>
                <w:szCs w:val="36"/>
              </w:rPr>
              <w:t>□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779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36"/>
                <w:szCs w:val="36"/>
              </w:rPr>
              <w:t>□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779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36"/>
                <w:szCs w:val="36"/>
              </w:rPr>
              <w:t>□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779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36"/>
                <w:szCs w:val="36"/>
              </w:rPr>
              <w:t>□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  <w:tc>
          <w:tcPr>
            <w:tcW w:w="779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36"/>
                <w:szCs w:val="36"/>
              </w:rPr>
              <w:t>□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1809" w:type="dxa"/>
            <w:shd w:val="clear" w:color="auto" w:fill="D9D9D9"/>
          </w:tcPr>
          <w:p>
            <w:pPr>
              <w:adjustRightInd w:val="0"/>
              <w:snapToGrid w:val="0"/>
              <w:spacing w:after="12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备注</w:t>
            </w:r>
          </w:p>
        </w:tc>
        <w:tc>
          <w:tcPr>
            <w:tcW w:w="779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b/>
                <w:sz w:val="24"/>
                <w:szCs w:val="24"/>
              </w:rPr>
              <w:t>相关市场：</w:t>
            </w:r>
          </w:p>
          <w:p>
            <w:pPr>
              <w:adjustRightInd w:val="0"/>
              <w:snapToGrid w:val="0"/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（1）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消费电子品专用模拟集成电路</w:t>
            </w:r>
          </w:p>
          <w:p>
            <w:pPr>
              <w:adjustRightInd w:val="0"/>
              <w:snapToGrid w:val="0"/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（2）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通信专用模拟集成电路</w:t>
            </w:r>
          </w:p>
          <w:p>
            <w:pPr>
              <w:adjustRightInd w:val="0"/>
              <w:snapToGrid w:val="0"/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）工业专用模拟集成电路</w:t>
            </w:r>
          </w:p>
          <w:p>
            <w:pPr>
              <w:adjustRightInd w:val="0"/>
              <w:snapToGrid w:val="0"/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）通用模拟集成电路</w:t>
            </w:r>
          </w:p>
          <w:p>
            <w:pPr>
              <w:adjustRightInd w:val="0"/>
              <w:snapToGrid w:val="0"/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val="en-US" w:eastAsia="zh-CN"/>
              </w:rPr>
              <w:t>LDO稳压器，电压检测器，看门狗定时器，DC-DC转换器，运算放大器</w:t>
            </w:r>
            <w:r>
              <w:rPr>
                <w:rFonts w:hint="eastAsia" w:ascii="Times New Roman" w:hAnsi="Times New Roman" w:eastAsia="仿宋_GB2312"/>
                <w:sz w:val="24"/>
                <w:szCs w:val="24"/>
                <w:lang w:eastAsia="zh-CN"/>
              </w:rPr>
              <w:t>）</w:t>
            </w:r>
          </w:p>
          <w:p>
            <w:pPr>
              <w:adjustRightInd w:val="0"/>
              <w:snapToGrid w:val="0"/>
              <w:rPr>
                <w:rFonts w:ascii="Times New Roman" w:hAnsi="Times New Roman" w:eastAsia="仿宋_GB2312"/>
                <w:sz w:val="24"/>
                <w:szCs w:val="24"/>
              </w:rPr>
            </w:pPr>
          </w:p>
          <w:p>
            <w:pPr>
              <w:adjustRightInd w:val="0"/>
              <w:snapToGrid w:val="0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b/>
                <w:sz w:val="24"/>
                <w:szCs w:val="24"/>
              </w:rPr>
              <w:t>集中各方的市场份额：</w:t>
            </w:r>
          </w:p>
          <w:tbl>
            <w:tblPr>
              <w:tblStyle w:val="15"/>
              <w:tblW w:w="781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31"/>
              <w:gridCol w:w="1233"/>
              <w:gridCol w:w="1484"/>
              <w:gridCol w:w="1216"/>
              <w:gridCol w:w="125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48A54"/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_GB2312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b/>
                      <w:sz w:val="24"/>
                      <w:szCs w:val="24"/>
                    </w:rPr>
                    <w:t>2018年</w:t>
                  </w: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48A54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b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b/>
                      <w:sz w:val="24"/>
                      <w:szCs w:val="24"/>
                      <w:lang w:eastAsia="zh-CN"/>
                    </w:rPr>
                    <w:t>地域市场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48A54"/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b/>
                      <w:sz w:val="24"/>
                      <w:szCs w:val="24"/>
                    </w:rPr>
                    <w:t>美蓓亚三美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48A54"/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b/>
                      <w:sz w:val="24"/>
                      <w:szCs w:val="24"/>
                    </w:rPr>
                    <w:t>艾普凌科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948A54"/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b/>
                      <w:sz w:val="24"/>
                      <w:szCs w:val="24"/>
                    </w:rPr>
                    <w:t>双方合计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消费电子品专用模拟集成电路市场</w:t>
                  </w: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全球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中国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通信专用模拟集成电路市场</w:t>
                  </w: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全球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中国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工业专用模拟集成电路市场</w:t>
                  </w: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全球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中国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LDO稳压器</w:t>
                  </w: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全球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中国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电压检测器市场</w:t>
                  </w: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全球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中国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看门狗定时器市场</w:t>
                  </w: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全球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中国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DC-DC转换器市场</w:t>
                  </w: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全球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中国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运算放大器市场</w:t>
                  </w:r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全球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631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bookmarkStart w:id="0" w:name="_GoBack" w:colFirst="2" w:colLast="4"/>
                </w:p>
              </w:tc>
              <w:tc>
                <w:tcPr>
                  <w:tcW w:w="12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  <w:lang w:eastAsia="zh-CN"/>
                    </w:rPr>
                    <w:t>中国</w:t>
                  </w:r>
                </w:p>
              </w:tc>
              <w:tc>
                <w:tcPr>
                  <w:tcW w:w="14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1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  <w:tc>
                <w:tcPr>
                  <w:tcW w:w="12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vAlign w:val="top"/>
                </w:tcPr>
                <w:p>
                  <w:pPr>
                    <w:adjustRightInd w:val="0"/>
                    <w:snapToGrid w:val="0"/>
                    <w:jc w:val="center"/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</w:pPr>
                  <w:r>
                    <w:rPr>
                      <w:rFonts w:hint="eastAsia" w:ascii="Times New Roman" w:hAnsi="Times New Roman" w:eastAsia="仿宋_GB2312"/>
                      <w:sz w:val="24"/>
                      <w:szCs w:val="24"/>
                    </w:rPr>
                    <w:t>[0-5]%</w:t>
                  </w:r>
                </w:p>
              </w:tc>
            </w:tr>
            <w:bookmarkEnd w:id="0"/>
          </w:tbl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</w:p>
          <w:p>
            <w:pPr>
              <w:adjustRightInd w:val="0"/>
              <w:snapToGrid w:val="0"/>
              <w:rPr>
                <w:rFonts w:ascii="Times New Roman" w:hAnsi="Times New Roman" w:eastAsia="仿宋"/>
                <w:sz w:val="24"/>
                <w:szCs w:val="24"/>
              </w:rPr>
            </w:pPr>
          </w:p>
        </w:tc>
      </w:tr>
    </w:tbl>
    <w:p>
      <w:pPr>
        <w:rPr>
          <w:rFonts w:ascii="Times New Roman" w:hAnsi="Times New Roman" w:eastAsia="仿宋"/>
          <w:sz w:val="24"/>
          <w:szCs w:val="24"/>
        </w:rPr>
      </w:pPr>
    </w:p>
    <w:sectPr>
      <w:footerReference r:id="rId5" w:type="first"/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20" w:lineRule="exact"/>
    </w:pPr>
    <w:r>
      <w:pict>
        <v:shape id="zzmpTrailer_2832_2" o:spid="_x0000_s2050" o:spt="202" type="#_x0000_t202" style="position:absolute;left:0pt;margin-left:0pt;margin-top:0pt;height:20.15pt;width:201.6pt;mso-position-horizontal-relative:margin;z-index:-1024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0"/>
                </w:pPr>
                <w:r>
                  <w:fldChar w:fldCharType="begin"/>
                </w:r>
                <w:r>
                  <w:instrText xml:space="preserve"> DOCPROPERTY  docId </w:instrText>
                </w:r>
                <w:r>
                  <w:fldChar w:fldCharType="separate"/>
                </w:r>
                <w:r>
                  <w:t>BEI1084870</w:t>
                </w:r>
                <w:r>
                  <w:fldChar w:fldCharType="end"/>
                </w:r>
                <w:r>
                  <w:t>/</w:t>
                </w:r>
                <w:r>
                  <w:fldChar w:fldCharType="begin"/>
                </w:r>
                <w:r>
                  <w:instrText xml:space="preserve"> DOCPROPERTY  docVersion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  <w:r>
                  <w:t xml:space="preserve">   </w:t>
                </w:r>
                <w:r>
                  <w:fldChar w:fldCharType="begin"/>
                </w:r>
                <w:r>
                  <w:instrText xml:space="preserve"> IF </w:instrText>
                </w:r>
                <w:r>
                  <w:fldChar w:fldCharType="begin"/>
                </w:r>
                <w:r>
                  <w:instrText xml:space="preserve"> DOCPROPERTY  docIncludeCliMat </w:instrText>
                </w:r>
                <w:r>
                  <w:fldChar w:fldCharType="separate"/>
                </w:r>
                <w:r>
                  <w:instrText xml:space="preserve">true</w:instrText>
                </w:r>
                <w:r>
                  <w:fldChar w:fldCharType="end"/>
                </w:r>
                <w:r>
                  <w:instrText xml:space="preserve"> = true </w:instrText>
                </w:r>
                <w:r>
                  <w:fldChar w:fldCharType="begin"/>
                </w:r>
                <w:r>
                  <w:instrText xml:space="preserve"> DOCPROPERTY  docCliMat </w:instrText>
                </w:r>
                <w:r>
                  <w:fldChar w:fldCharType="separate"/>
                </w:r>
                <w:r>
                  <w:instrText xml:space="preserve">168072-0001</w:instrText>
                </w:r>
                <w:r>
                  <w:fldChar w:fldCharType="end"/>
                </w:r>
                <w:r>
                  <w:instrText xml:space="preserve">  </w:instrText>
                </w:r>
                <w:r>
                  <w:fldChar w:fldCharType="separate"/>
                </w:r>
                <w:r>
                  <w:t>168072-0001</w:t>
                </w:r>
                <w:r>
                  <w:fldChar w:fldCharType="end"/>
                </w:r>
              </w:p>
              <w:p>
                <w:pPr>
                  <w:pStyle w:val="20"/>
                </w:pP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852783"/>
    <w:multiLevelType w:val="multilevel"/>
    <w:tmpl w:val="46852783"/>
    <w:lvl w:ilvl="0" w:tentative="0">
      <w:start w:val="1"/>
      <w:numFmt w:val="decimal"/>
      <w:pStyle w:val="23"/>
      <w:lvlText w:val="(%1)"/>
      <w:lvlJc w:val="left"/>
      <w:pPr>
        <w:ind w:hanging="720"/>
      </w:pPr>
      <w:rPr>
        <w:color w:val="auto"/>
        <w:sz w:val="20"/>
      </w:rPr>
    </w:lvl>
    <w:lvl w:ilvl="1" w:tentative="0">
      <w:start w:val="1"/>
      <w:numFmt w:val="none"/>
      <w:lvlText w:val="%2."/>
      <w:lvlJc w:val="left"/>
      <w:pPr>
        <w:ind w:left="2160" w:hanging="360"/>
      </w:pPr>
    </w:lvl>
    <w:lvl w:ilvl="2" w:tentative="0">
      <w:start w:val="1"/>
      <w:numFmt w:val="none"/>
      <w:lvlText w:val="%3."/>
      <w:lvlJc w:val="right"/>
      <w:pPr>
        <w:ind w:left="2880" w:hanging="180"/>
      </w:pPr>
    </w:lvl>
    <w:lvl w:ilvl="3" w:tentative="0">
      <w:start w:val="1"/>
      <w:numFmt w:val="none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LastTrailerInserted_2832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mSEGsValidated" w:val="1"/>
    <w:docVar w:name="zzmpLegacyTrailerRemoved" w:val="True"/>
  </w:docVars>
  <w:rsids>
    <w:rsidRoot w:val="00094095"/>
    <w:rsid w:val="00015C83"/>
    <w:rsid w:val="000375B0"/>
    <w:rsid w:val="00042C44"/>
    <w:rsid w:val="00050437"/>
    <w:rsid w:val="000626CD"/>
    <w:rsid w:val="00070BDC"/>
    <w:rsid w:val="00094095"/>
    <w:rsid w:val="000C3FBF"/>
    <w:rsid w:val="000F62EC"/>
    <w:rsid w:val="00137CFF"/>
    <w:rsid w:val="0014035B"/>
    <w:rsid w:val="00140D5D"/>
    <w:rsid w:val="00150500"/>
    <w:rsid w:val="00167677"/>
    <w:rsid w:val="00172D7E"/>
    <w:rsid w:val="001C5B46"/>
    <w:rsid w:val="001E46E7"/>
    <w:rsid w:val="001F0B61"/>
    <w:rsid w:val="00202C4C"/>
    <w:rsid w:val="0020418C"/>
    <w:rsid w:val="00205E2F"/>
    <w:rsid w:val="002136C0"/>
    <w:rsid w:val="00221D21"/>
    <w:rsid w:val="00225353"/>
    <w:rsid w:val="0023513A"/>
    <w:rsid w:val="00240053"/>
    <w:rsid w:val="00260CE8"/>
    <w:rsid w:val="00281603"/>
    <w:rsid w:val="00285C21"/>
    <w:rsid w:val="002A0CF3"/>
    <w:rsid w:val="002E4C07"/>
    <w:rsid w:val="00327E7D"/>
    <w:rsid w:val="00347182"/>
    <w:rsid w:val="003671CB"/>
    <w:rsid w:val="003801AB"/>
    <w:rsid w:val="00380694"/>
    <w:rsid w:val="00392C39"/>
    <w:rsid w:val="003A1A8B"/>
    <w:rsid w:val="003C4E66"/>
    <w:rsid w:val="003E15B6"/>
    <w:rsid w:val="003E47FF"/>
    <w:rsid w:val="003F1EBF"/>
    <w:rsid w:val="003F44EE"/>
    <w:rsid w:val="00403BBA"/>
    <w:rsid w:val="0043715C"/>
    <w:rsid w:val="00437297"/>
    <w:rsid w:val="0046114E"/>
    <w:rsid w:val="00462174"/>
    <w:rsid w:val="00474890"/>
    <w:rsid w:val="004A7507"/>
    <w:rsid w:val="004B4594"/>
    <w:rsid w:val="004C48BB"/>
    <w:rsid w:val="004E6A47"/>
    <w:rsid w:val="004E6E53"/>
    <w:rsid w:val="004F0065"/>
    <w:rsid w:val="004F5480"/>
    <w:rsid w:val="00500496"/>
    <w:rsid w:val="0051481B"/>
    <w:rsid w:val="00545339"/>
    <w:rsid w:val="00546452"/>
    <w:rsid w:val="0054693E"/>
    <w:rsid w:val="00555F32"/>
    <w:rsid w:val="00565CD2"/>
    <w:rsid w:val="00570149"/>
    <w:rsid w:val="0057311D"/>
    <w:rsid w:val="00577457"/>
    <w:rsid w:val="0058041D"/>
    <w:rsid w:val="005A15EE"/>
    <w:rsid w:val="005D5123"/>
    <w:rsid w:val="005D7069"/>
    <w:rsid w:val="005E715A"/>
    <w:rsid w:val="005F0540"/>
    <w:rsid w:val="005F0BFD"/>
    <w:rsid w:val="005F21E6"/>
    <w:rsid w:val="0060370D"/>
    <w:rsid w:val="006341B0"/>
    <w:rsid w:val="006651C8"/>
    <w:rsid w:val="006A3A30"/>
    <w:rsid w:val="006C11CD"/>
    <w:rsid w:val="006C7BB5"/>
    <w:rsid w:val="006D6F75"/>
    <w:rsid w:val="006E08C4"/>
    <w:rsid w:val="007155EC"/>
    <w:rsid w:val="007242B6"/>
    <w:rsid w:val="00726AFC"/>
    <w:rsid w:val="00751668"/>
    <w:rsid w:val="00786C11"/>
    <w:rsid w:val="00787D24"/>
    <w:rsid w:val="007A16B1"/>
    <w:rsid w:val="007B3CC5"/>
    <w:rsid w:val="007F377D"/>
    <w:rsid w:val="00807DD3"/>
    <w:rsid w:val="008204A9"/>
    <w:rsid w:val="00820C0F"/>
    <w:rsid w:val="0082712D"/>
    <w:rsid w:val="008324A1"/>
    <w:rsid w:val="0085025C"/>
    <w:rsid w:val="00851AC3"/>
    <w:rsid w:val="008550A4"/>
    <w:rsid w:val="00863098"/>
    <w:rsid w:val="008856BE"/>
    <w:rsid w:val="008857F4"/>
    <w:rsid w:val="008A1B9C"/>
    <w:rsid w:val="008C2E34"/>
    <w:rsid w:val="008C569C"/>
    <w:rsid w:val="008D34AE"/>
    <w:rsid w:val="008E7B8C"/>
    <w:rsid w:val="009131BF"/>
    <w:rsid w:val="00914699"/>
    <w:rsid w:val="009151AA"/>
    <w:rsid w:val="00934AC6"/>
    <w:rsid w:val="00951E1A"/>
    <w:rsid w:val="00990ADB"/>
    <w:rsid w:val="00991915"/>
    <w:rsid w:val="009A0F42"/>
    <w:rsid w:val="009B005C"/>
    <w:rsid w:val="009B2CFF"/>
    <w:rsid w:val="009B6A33"/>
    <w:rsid w:val="009E505E"/>
    <w:rsid w:val="00A01F48"/>
    <w:rsid w:val="00A06C4D"/>
    <w:rsid w:val="00A20E75"/>
    <w:rsid w:val="00A67CAB"/>
    <w:rsid w:val="00A912CE"/>
    <w:rsid w:val="00AA2F52"/>
    <w:rsid w:val="00AB1188"/>
    <w:rsid w:val="00AB2771"/>
    <w:rsid w:val="00AB29C1"/>
    <w:rsid w:val="00AC629E"/>
    <w:rsid w:val="00AD014C"/>
    <w:rsid w:val="00AE6017"/>
    <w:rsid w:val="00AE643B"/>
    <w:rsid w:val="00AE7CB3"/>
    <w:rsid w:val="00B1651D"/>
    <w:rsid w:val="00B41684"/>
    <w:rsid w:val="00B44A7A"/>
    <w:rsid w:val="00B73B00"/>
    <w:rsid w:val="00B82B21"/>
    <w:rsid w:val="00B853C3"/>
    <w:rsid w:val="00B96A6F"/>
    <w:rsid w:val="00BA1596"/>
    <w:rsid w:val="00BA4EBD"/>
    <w:rsid w:val="00BC6627"/>
    <w:rsid w:val="00BC69B3"/>
    <w:rsid w:val="00BD1CB9"/>
    <w:rsid w:val="00BF5016"/>
    <w:rsid w:val="00BF514E"/>
    <w:rsid w:val="00BF5213"/>
    <w:rsid w:val="00BF7486"/>
    <w:rsid w:val="00C053D3"/>
    <w:rsid w:val="00C37748"/>
    <w:rsid w:val="00C53CEE"/>
    <w:rsid w:val="00C56E8F"/>
    <w:rsid w:val="00C5720D"/>
    <w:rsid w:val="00C61413"/>
    <w:rsid w:val="00C76D5F"/>
    <w:rsid w:val="00C81F79"/>
    <w:rsid w:val="00C84A74"/>
    <w:rsid w:val="00C868C5"/>
    <w:rsid w:val="00C87D17"/>
    <w:rsid w:val="00CB2837"/>
    <w:rsid w:val="00CC13A5"/>
    <w:rsid w:val="00CD1484"/>
    <w:rsid w:val="00CD35CF"/>
    <w:rsid w:val="00D0177B"/>
    <w:rsid w:val="00D4428B"/>
    <w:rsid w:val="00D64F0A"/>
    <w:rsid w:val="00D8430E"/>
    <w:rsid w:val="00D90741"/>
    <w:rsid w:val="00DB7528"/>
    <w:rsid w:val="00DC40E5"/>
    <w:rsid w:val="00DD7D65"/>
    <w:rsid w:val="00DF1860"/>
    <w:rsid w:val="00DF2C87"/>
    <w:rsid w:val="00DF68F0"/>
    <w:rsid w:val="00E05350"/>
    <w:rsid w:val="00E16AB2"/>
    <w:rsid w:val="00E37F56"/>
    <w:rsid w:val="00E514E9"/>
    <w:rsid w:val="00E66E51"/>
    <w:rsid w:val="00E71C30"/>
    <w:rsid w:val="00E8098C"/>
    <w:rsid w:val="00EB1320"/>
    <w:rsid w:val="00EB566C"/>
    <w:rsid w:val="00EC478E"/>
    <w:rsid w:val="00EC6878"/>
    <w:rsid w:val="00F37758"/>
    <w:rsid w:val="00F43980"/>
    <w:rsid w:val="00F4418F"/>
    <w:rsid w:val="00F47530"/>
    <w:rsid w:val="00F6008E"/>
    <w:rsid w:val="00F86728"/>
    <w:rsid w:val="00F87C1F"/>
    <w:rsid w:val="00F920C7"/>
    <w:rsid w:val="00FB2154"/>
    <w:rsid w:val="00FE623E"/>
    <w:rsid w:val="0D666C80"/>
    <w:rsid w:val="163A0828"/>
    <w:rsid w:val="1E4E6869"/>
    <w:rsid w:val="212E02AE"/>
    <w:rsid w:val="258C29D7"/>
    <w:rsid w:val="2FC36021"/>
    <w:rsid w:val="31E55328"/>
    <w:rsid w:val="45906AD0"/>
    <w:rsid w:val="47004129"/>
    <w:rsid w:val="49E87905"/>
    <w:rsid w:val="60B90A3D"/>
    <w:rsid w:val="68284CDA"/>
    <w:rsid w:val="74D304DB"/>
    <w:rsid w:val="77FD5FEE"/>
    <w:rsid w:val="7CD1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 w:locked="1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 w:locked="1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 w:locked="1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subject"/>
    <w:basedOn w:val="3"/>
    <w:next w:val="3"/>
    <w:link w:val="25"/>
    <w:uiPriority w:val="0"/>
    <w:rPr>
      <w:b/>
      <w:bCs/>
    </w:rPr>
  </w:style>
  <w:style w:type="paragraph" w:styleId="3">
    <w:name w:val="annotation text"/>
    <w:basedOn w:val="1"/>
    <w:link w:val="24"/>
    <w:uiPriority w:val="0"/>
    <w:pPr>
      <w:jc w:val="left"/>
    </w:pPr>
  </w:style>
  <w:style w:type="paragraph" w:styleId="4">
    <w:name w:val="endnote text"/>
    <w:basedOn w:val="1"/>
    <w:link w:val="17"/>
    <w:semiHidden/>
    <w:uiPriority w:val="0"/>
    <w:pPr>
      <w:snapToGrid w:val="0"/>
      <w:jc w:val="left"/>
    </w:pPr>
  </w:style>
  <w:style w:type="paragraph" w:styleId="5">
    <w:name w:val="Balloon Text"/>
    <w:basedOn w:val="1"/>
    <w:link w:val="21"/>
    <w:uiPriority w:val="0"/>
    <w:rPr>
      <w:rFonts w:ascii="Tahoma" w:hAnsi="Tahoma" w:cs="Tahoma"/>
      <w:sz w:val="16"/>
      <w:szCs w:val="16"/>
    </w:rPr>
  </w:style>
  <w:style w:type="paragraph" w:styleId="6">
    <w:name w:val="footer"/>
    <w:basedOn w:val="1"/>
    <w:link w:val="19"/>
    <w:qFormat/>
    <w:uiPriority w:val="0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8"/>
    <w:qFormat/>
    <w:uiPriority w:val="0"/>
    <w:pPr>
      <w:tabs>
        <w:tab w:val="center" w:pos="4680"/>
        <w:tab w:val="right" w:pos="9360"/>
      </w:tabs>
    </w:pPr>
  </w:style>
  <w:style w:type="paragraph" w:styleId="8">
    <w:name w:val="footnote text"/>
    <w:basedOn w:val="1"/>
    <w:link w:val="22"/>
    <w:uiPriority w:val="0"/>
    <w:rPr>
      <w:sz w:val="20"/>
      <w:szCs w:val="20"/>
    </w:rPr>
  </w:style>
  <w:style w:type="character" w:styleId="10">
    <w:name w:val="endnote reference"/>
    <w:semiHidden/>
    <w:uiPriority w:val="0"/>
    <w:rPr>
      <w:rFonts w:cs="Times New Roman"/>
      <w:vertAlign w:val="superscript"/>
    </w:rPr>
  </w:style>
  <w:style w:type="character" w:styleId="11">
    <w:name w:val="FollowedHyperlink"/>
    <w:uiPriority w:val="0"/>
    <w:rPr>
      <w:color w:val="800080"/>
      <w:u w:val="single"/>
    </w:rPr>
  </w:style>
  <w:style w:type="character" w:styleId="12">
    <w:name w:val="Hyperlink"/>
    <w:uiPriority w:val="0"/>
    <w:rPr>
      <w:color w:val="0000FF"/>
      <w:u w:val="single"/>
    </w:rPr>
  </w:style>
  <w:style w:type="character" w:styleId="13">
    <w:name w:val="annotation reference"/>
    <w:uiPriority w:val="0"/>
    <w:rPr>
      <w:sz w:val="21"/>
      <w:szCs w:val="21"/>
    </w:rPr>
  </w:style>
  <w:style w:type="character" w:styleId="14">
    <w:name w:val="footnote reference"/>
    <w:uiPriority w:val="0"/>
    <w:rPr>
      <w:vertAlign w:val="superscript"/>
    </w:rPr>
  </w:style>
  <w:style w:type="table" w:styleId="16">
    <w:name w:val="Table Grid"/>
    <w:basedOn w:val="15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7">
    <w:name w:val="尾注文本 Char"/>
    <w:link w:val="4"/>
    <w:semiHidden/>
    <w:locked/>
    <w:uiPriority w:val="0"/>
    <w:rPr>
      <w:rFonts w:cs="Times New Roman"/>
    </w:rPr>
  </w:style>
  <w:style w:type="character" w:customStyle="1" w:styleId="18">
    <w:name w:val="页眉 Char"/>
    <w:link w:val="7"/>
    <w:qFormat/>
    <w:uiPriority w:val="0"/>
    <w:rPr>
      <w:kern w:val="2"/>
      <w:sz w:val="21"/>
      <w:szCs w:val="22"/>
    </w:rPr>
  </w:style>
  <w:style w:type="character" w:customStyle="1" w:styleId="19">
    <w:name w:val="页脚 Char"/>
    <w:link w:val="6"/>
    <w:uiPriority w:val="0"/>
    <w:rPr>
      <w:kern w:val="2"/>
      <w:sz w:val="21"/>
      <w:szCs w:val="22"/>
    </w:rPr>
  </w:style>
  <w:style w:type="paragraph" w:customStyle="1" w:styleId="20">
    <w:name w:val="MacPac Trailer"/>
    <w:uiPriority w:val="0"/>
    <w:pPr>
      <w:widowControl w:val="0"/>
      <w:spacing w:line="170" w:lineRule="exact"/>
    </w:pPr>
    <w:rPr>
      <w:rFonts w:ascii="Times New Roman" w:hAnsi="Times New Roman" w:eastAsia="Times New Roman" w:cs="Times New Roman"/>
      <w:sz w:val="14"/>
      <w:szCs w:val="22"/>
      <w:lang w:val="en-US" w:eastAsia="en-US" w:bidi="ar-SA"/>
    </w:rPr>
  </w:style>
  <w:style w:type="character" w:customStyle="1" w:styleId="21">
    <w:name w:val="批注框文本 Char"/>
    <w:link w:val="5"/>
    <w:uiPriority w:val="0"/>
    <w:rPr>
      <w:rFonts w:ascii="Tahoma" w:hAnsi="Tahoma" w:cs="Tahoma"/>
      <w:kern w:val="2"/>
      <w:sz w:val="16"/>
      <w:szCs w:val="16"/>
    </w:rPr>
  </w:style>
  <w:style w:type="character" w:customStyle="1" w:styleId="22">
    <w:name w:val="脚注文本 Char"/>
    <w:link w:val="8"/>
    <w:uiPriority w:val="0"/>
    <w:rPr>
      <w:kern w:val="2"/>
    </w:rPr>
  </w:style>
  <w:style w:type="paragraph" w:customStyle="1" w:styleId="23">
    <w:name w:val="Paragraph Number (Rz)"/>
    <w:basedOn w:val="1"/>
    <w:qFormat/>
    <w:uiPriority w:val="0"/>
    <w:pPr>
      <w:widowControl/>
      <w:numPr>
        <w:ilvl w:val="0"/>
        <w:numId w:val="1"/>
      </w:numPr>
      <w:adjustRightInd w:val="0"/>
      <w:spacing w:after="180" w:line="280" w:lineRule="exact"/>
    </w:pPr>
    <w:rPr>
      <w:rFonts w:ascii="Times New Roman" w:hAnsi="Times New Roman" w:eastAsia="Times New Roman"/>
      <w:kern w:val="0"/>
      <w:sz w:val="24"/>
      <w:szCs w:val="24"/>
      <w:lang w:val="en-GB" w:eastAsia="en-US"/>
    </w:rPr>
  </w:style>
  <w:style w:type="character" w:customStyle="1" w:styleId="24">
    <w:name w:val="批注文字 Char"/>
    <w:link w:val="3"/>
    <w:uiPriority w:val="0"/>
    <w:rPr>
      <w:kern w:val="2"/>
      <w:sz w:val="21"/>
      <w:szCs w:val="22"/>
    </w:rPr>
  </w:style>
  <w:style w:type="character" w:customStyle="1" w:styleId="25">
    <w:name w:val="批注主题 Char"/>
    <w:link w:val="2"/>
    <w:uiPriority w:val="0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A5CB34-A8EB-4B6A-89FD-A5533F901C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Freshfields Bruckhaus Deringer</Company>
  <Pages>2</Pages>
  <Words>165</Words>
  <Characters>941</Characters>
  <Lines>7</Lines>
  <Paragraphs>2</Paragraphs>
  <TotalTime>0</TotalTime>
  <ScaleCrop>false</ScaleCrop>
  <LinksUpToDate>false</LinksUpToDate>
  <CharactersWithSpaces>1104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2018-07-27T09:06:00Z</dcterms:created>
  <dc:creator>dell</dc:creator>
  <cp:lastModifiedBy>Administrator</cp:lastModifiedBy>
  <cp:lastPrinted>2017-04-20T05:41:00Z</cp:lastPrinted>
  <dcterms:modified xsi:type="dcterms:W3CDTF">2020-03-13T09:47:26Z</dcterms:modified>
  <dc:title>Attachment 2</dc:title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Id">
    <vt:lpwstr>KELI</vt:lpwstr>
  </property>
  <property fmtid="{D5CDD505-2E9C-101B-9397-08002B2CF9AE}" pid="3" name="operName">
    <vt:lpwstr>Li, Kexin</vt:lpwstr>
  </property>
  <property fmtid="{D5CDD505-2E9C-101B-9397-08002B2CF9AE}" pid="4" name="operLocation">
    <vt:lpwstr>Beijing</vt:lpwstr>
  </property>
  <property fmtid="{D5CDD505-2E9C-101B-9397-08002B2CF9AE}" pid="5" name="operExtension">
    <vt:lpwstr>4607</vt:lpwstr>
  </property>
  <property fmtid="{D5CDD505-2E9C-101B-9397-08002B2CF9AE}" pid="6" name="operPhone">
    <vt:lpwstr>86 10 6535 4607</vt:lpwstr>
  </property>
  <property fmtid="{D5CDD505-2E9C-101B-9397-08002B2CF9AE}" pid="7" name="operEmail">
    <vt:lpwstr>Kexin.LI@freshfields.com</vt:lpwstr>
  </property>
  <property fmtid="{D5CDD505-2E9C-101B-9397-08002B2CF9AE}" pid="8" name="operFax">
    <vt:lpwstr>86 10 6505 7783</vt:lpwstr>
  </property>
  <property fmtid="{D5CDD505-2E9C-101B-9397-08002B2CF9AE}" pid="9" name="operCorresp">
    <vt:lpwstr>Kexin Li</vt:lpwstr>
  </property>
  <property fmtid="{D5CDD505-2E9C-101B-9397-08002B2CF9AE}" pid="10" name="operInitials">
    <vt:lpwstr/>
  </property>
  <property fmtid="{D5CDD505-2E9C-101B-9397-08002B2CF9AE}" pid="11" name="authId">
    <vt:lpwstr>QUZHOU</vt:lpwstr>
  </property>
  <property fmtid="{D5CDD505-2E9C-101B-9397-08002B2CF9AE}" pid="12" name="authName">
    <vt:lpwstr>Zhou, Quan</vt:lpwstr>
  </property>
  <property fmtid="{D5CDD505-2E9C-101B-9397-08002B2CF9AE}" pid="13" name="authLocation">
    <vt:lpwstr>Beijing</vt:lpwstr>
  </property>
  <property fmtid="{D5CDD505-2E9C-101B-9397-08002B2CF9AE}" pid="14" name="authExtension">
    <vt:lpwstr>4546</vt:lpwstr>
  </property>
  <property fmtid="{D5CDD505-2E9C-101B-9397-08002B2CF9AE}" pid="15" name="authPhone">
    <vt:lpwstr>86 10 6535 4546</vt:lpwstr>
  </property>
  <property fmtid="{D5CDD505-2E9C-101B-9397-08002B2CF9AE}" pid="16" name="authEmail">
    <vt:lpwstr/>
  </property>
  <property fmtid="{D5CDD505-2E9C-101B-9397-08002B2CF9AE}" pid="17" name="authFax">
    <vt:lpwstr>86 10 6505 7783</vt:lpwstr>
  </property>
  <property fmtid="{D5CDD505-2E9C-101B-9397-08002B2CF9AE}" pid="18" name="authCorresp">
    <vt:lpwstr>Quan Zhou</vt:lpwstr>
  </property>
  <property fmtid="{D5CDD505-2E9C-101B-9397-08002B2CF9AE}" pid="19" name="authInitials">
    <vt:lpwstr/>
  </property>
  <property fmtid="{D5CDD505-2E9C-101B-9397-08002B2CF9AE}" pid="20" name="docClass">
    <vt:lpwstr>-NONE-</vt:lpwstr>
  </property>
  <property fmtid="{D5CDD505-2E9C-101B-9397-08002B2CF9AE}" pid="21" name="docSubClass">
    <vt:lpwstr/>
  </property>
  <property fmtid="{D5CDD505-2E9C-101B-9397-08002B2CF9AE}" pid="22" name="docLanguage">
    <vt:lpwstr>EN(UK)</vt:lpwstr>
  </property>
  <property fmtid="{D5CDD505-2E9C-101B-9397-08002B2CF9AE}" pid="23" name="docClient">
    <vt:lpwstr>800000</vt:lpwstr>
  </property>
  <property fmtid="{D5CDD505-2E9C-101B-9397-08002B2CF9AE}" pid="24" name="docMatter">
    <vt:lpwstr>0001</vt:lpwstr>
  </property>
  <property fmtid="{D5CDD505-2E9C-101B-9397-08002B2CF9AE}" pid="25" name="docCliMat">
    <vt:lpwstr>168072-0001</vt:lpwstr>
  </property>
  <property fmtid="{D5CDD505-2E9C-101B-9397-08002B2CF9AE}" pid="26" name="docGlobPracGroup">
    <vt:lpwstr/>
  </property>
  <property fmtid="{D5CDD505-2E9C-101B-9397-08002B2CF9AE}" pid="27" name="docGlobSectGroup">
    <vt:lpwstr/>
  </property>
  <property fmtid="{D5CDD505-2E9C-101B-9397-08002B2CF9AE}" pid="28" name="docOrganisation">
    <vt:lpwstr/>
  </property>
  <property fmtid="{D5CDD505-2E9C-101B-9397-08002B2CF9AE}" pid="29" name="docId">
    <vt:lpwstr>BEI1084870</vt:lpwstr>
  </property>
  <property fmtid="{D5CDD505-2E9C-101B-9397-08002B2CF9AE}" pid="30" name="docVersion">
    <vt:lpwstr>5</vt:lpwstr>
  </property>
  <property fmtid="{D5CDD505-2E9C-101B-9397-08002B2CF9AE}" pid="31" name="docIdVer">
    <vt:lpwstr>BEI933257/2</vt:lpwstr>
  </property>
  <property fmtid="{D5CDD505-2E9C-101B-9397-08002B2CF9AE}" pid="32" name="docDesc">
    <vt:lpwstr>Attachment 2 - Public Notice Form for Simple Cases in Concentrations of Undertakings - ENG</vt:lpwstr>
  </property>
  <property fmtid="{D5CDD505-2E9C-101B-9397-08002B2CF9AE}" pid="33" name="docIncludeCliMat">
    <vt:lpwstr>true</vt:lpwstr>
  </property>
  <property fmtid="{D5CDD505-2E9C-101B-9397-08002B2CF9AE}" pid="34" name="KSOProductBuildVer">
    <vt:lpwstr>2052-10.8.2.7129</vt:lpwstr>
  </property>
</Properties>
</file>