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Times New Roman" w:hAnsi="Times New Roman" w:eastAsia="仿宋"/>
                <w:color w:val="333333"/>
                <w:kern w:val="0"/>
                <w:sz w:val="22"/>
              </w:rPr>
              <w:t>维多国际储罐码头第一有限公司</w:t>
            </w:r>
            <w:r>
              <w:rPr>
                <w:rFonts w:hint="eastAsia" w:ascii="仿宋" w:hAnsi="仿宋" w:eastAsia="仿宋" w:cs="宋体"/>
                <w:color w:val="333333"/>
                <w:kern w:val="0"/>
                <w:sz w:val="22"/>
              </w:rPr>
              <w:t>收购大连港湾液体储罐码头有限公司股权案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2"/>
              </w:rPr>
              <w:t>维多国际储罐码头第一有限公司于2020年1月6日签署《关于大连港湾液体储罐码头有限公司的股权转让协议》，约定维多国际储罐码头第一有限公司收购大连港湾液体储罐码头有限公司50%的股权（以下简称“本次交易”）。本次交易完成后，维多国际储罐码头第一有限公司将成为大连港湾液体储罐码头有限公司的外方股东，与另一股东大连港股份有限公司共同控制大连港湾液体储罐码头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r>
              <w:rPr>
                <w:rFonts w:hint="eastAsia"/>
              </w:rPr>
              <w:t xml:space="preserve"> </w:t>
            </w:r>
            <w:r>
              <w:rPr>
                <w:rFonts w:hint="eastAsia" w:ascii="Times New Roman" w:hAnsi="Times New Roman" w:eastAsia="仿宋"/>
                <w:color w:val="333333"/>
                <w:kern w:val="0"/>
                <w:sz w:val="22"/>
              </w:rPr>
              <w:t>维多国际储罐码头第一有限公司</w:t>
            </w:r>
          </w:p>
        </w:tc>
        <w:tc>
          <w:tcPr>
            <w:tcW w:w="5153" w:type="dxa"/>
          </w:tcPr>
          <w:p>
            <w:pPr>
              <w:spacing w:line="500" w:lineRule="exact"/>
              <w:rPr>
                <w:rFonts w:ascii="仿宋" w:hAnsi="仿宋" w:eastAsia="仿宋" w:cs="宋体"/>
                <w:color w:val="333333"/>
                <w:kern w:val="0"/>
                <w:sz w:val="22"/>
              </w:rPr>
            </w:pPr>
            <w:r>
              <w:rPr>
                <w:rFonts w:hint="eastAsia" w:ascii="仿宋" w:hAnsi="仿宋" w:eastAsia="仿宋" w:cs="宋体"/>
                <w:color w:val="333333"/>
                <w:kern w:val="0"/>
                <w:sz w:val="22"/>
              </w:rPr>
              <w:t>维多国际储罐码头第一有限公司在荷兰注册设立，是维多国际储罐码头集团旗下一家组织和管理码头业务和资产运作的公司。维多国际储罐码头集团在全球16个主要港口经营储罐码头，主要业务为燃料及散装液体化工品转运及仓储。维多国际储罐码头集团目前未在中国境内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hint="eastAsia" w:ascii="仿宋" w:hAnsi="仿宋" w:eastAsia="仿宋" w:cs="宋体"/>
                <w:color w:val="333333"/>
                <w:kern w:val="0"/>
                <w:sz w:val="22"/>
              </w:rPr>
              <w:t>大连港湾液体储罐码头有限公司</w:t>
            </w:r>
          </w:p>
        </w:tc>
        <w:tc>
          <w:tcPr>
            <w:tcW w:w="5153" w:type="dxa"/>
          </w:tcPr>
          <w:p>
            <w:pPr>
              <w:spacing w:line="500" w:lineRule="exact"/>
              <w:rPr>
                <w:rFonts w:ascii="仿宋" w:hAnsi="仿宋" w:eastAsia="仿宋" w:cs="宋体"/>
                <w:color w:val="333333"/>
                <w:kern w:val="0"/>
                <w:sz w:val="22"/>
              </w:rPr>
            </w:pPr>
            <w:r>
              <w:rPr>
                <w:rFonts w:hint="eastAsia" w:ascii="仿宋" w:hAnsi="仿宋" w:eastAsia="仿宋" w:cs="宋体"/>
                <w:color w:val="333333"/>
                <w:kern w:val="0"/>
                <w:sz w:val="22"/>
              </w:rPr>
              <w:t>大连港湾液体储罐码头有限公司主要经营液体散货码头业务，从事散装液体化工品转运及仓储服务。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r>
              <w:rPr>
                <w:rFonts w:hint="eastAsia" w:ascii="仿宋" w:hAnsi="仿宋" w:eastAsia="仿宋" w:cs="宋体"/>
                <w:color w:val="333333"/>
                <w:kern w:val="0"/>
                <w:sz w:val="22"/>
              </w:rPr>
              <w:t>大连港股份有限公司</w:t>
            </w:r>
          </w:p>
        </w:tc>
        <w:tc>
          <w:tcPr>
            <w:tcW w:w="5153" w:type="dxa"/>
          </w:tcPr>
          <w:p>
            <w:pPr>
              <w:spacing w:line="500" w:lineRule="exact"/>
              <w:rPr>
                <w:rFonts w:ascii="仿宋" w:hAnsi="仿宋" w:eastAsia="仿宋" w:cs="宋体"/>
                <w:color w:val="333333"/>
                <w:kern w:val="0"/>
                <w:sz w:val="22"/>
              </w:rPr>
            </w:pPr>
            <w:r>
              <w:rPr>
                <w:rFonts w:hint="eastAsia" w:ascii="仿宋" w:hAnsi="仿宋" w:eastAsia="仿宋" w:cs="宋体"/>
                <w:color w:val="333333"/>
                <w:kern w:val="0"/>
                <w:sz w:val="22"/>
              </w:rPr>
              <w:t>大连港股份有限公司经营油品码头及相关物流服务、集装箱码头及相关物流服务、汽车码头及相关物流服务、矿石码头及相关物流服务、杂货码头及相关物流服务、散粮码头及相关物流服务、客运滚装码头及相关物流服务、港口增值与支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ascii="黑体" w:eastAsia="黑体"/>
                <w:szCs w:val="21"/>
              </w:rPr>
              <w:sym w:font="Wingdings" w:char="F0FE"/>
            </w:r>
            <w:r>
              <w:rPr>
                <w:rFonts w:hint="eastAsia" w:ascii="仿宋" w:hAnsi="仿宋" w:eastAsia="仿宋" w:cs="宋体"/>
                <w:color w:val="333333"/>
                <w:kern w:val="0"/>
                <w:sz w:val="24"/>
                <w:szCs w:val="24"/>
              </w:rPr>
              <w:t xml:space="preserve">1.在同一相关市场，所有参与集中的经营者所占市场份额之和小于15%。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2"/>
              </w:rPr>
            </w:pPr>
            <w:r>
              <w:rPr>
                <w:rFonts w:hint="eastAsia" w:ascii="仿宋" w:hAnsi="仿宋" w:eastAsia="仿宋" w:cs="宋体"/>
                <w:color w:val="333333"/>
                <w:kern w:val="0"/>
                <w:sz w:val="22"/>
              </w:rPr>
              <w:t>相关市场为：环渤海地区液体散货码头服务市场；</w:t>
            </w:r>
          </w:p>
          <w:p>
            <w:pPr>
              <w:spacing w:line="500" w:lineRule="exact"/>
              <w:rPr>
                <w:rFonts w:hint="eastAsia" w:ascii="Times New Roman" w:hAnsi="Times New Roman" w:eastAsia="仿宋"/>
                <w:color w:val="333333"/>
                <w:kern w:val="0"/>
                <w:sz w:val="22"/>
                <w:lang w:eastAsia="zh-CN"/>
              </w:rPr>
            </w:pPr>
            <w:bookmarkStart w:id="0" w:name="_GoBack"/>
            <w:bookmarkEnd w:id="0"/>
            <w:r>
              <w:rPr>
                <w:rFonts w:hint="eastAsia" w:ascii="Times New Roman" w:hAnsi="Times New Roman" w:eastAsia="仿宋"/>
                <w:color w:val="333333"/>
                <w:kern w:val="0"/>
                <w:sz w:val="22"/>
              </w:rPr>
              <w:t>维多国际储罐码头集团在相关市场的市场份额为0</w:t>
            </w:r>
            <w:r>
              <w:rPr>
                <w:rFonts w:hint="eastAsia" w:ascii="Times New Roman" w:hAnsi="Times New Roman" w:eastAsia="仿宋"/>
                <w:color w:val="333333"/>
                <w:kern w:val="0"/>
                <w:sz w:val="22"/>
                <w:lang w:eastAsia="zh-CN"/>
              </w:rPr>
              <w:t>；</w:t>
            </w:r>
          </w:p>
          <w:p>
            <w:pPr>
              <w:spacing w:line="500" w:lineRule="exact"/>
              <w:rPr>
                <w:rFonts w:hint="eastAsia" w:ascii="仿宋" w:hAnsi="仿宋" w:eastAsia="仿宋" w:cs="宋体"/>
                <w:color w:val="333333"/>
                <w:kern w:val="0"/>
                <w:sz w:val="22"/>
                <w:lang w:eastAsia="zh-CN"/>
              </w:rPr>
            </w:pPr>
            <w:r>
              <w:rPr>
                <w:rFonts w:hint="eastAsia" w:ascii="仿宋" w:hAnsi="仿宋" w:eastAsia="仿宋" w:cs="宋体"/>
                <w:color w:val="333333"/>
                <w:kern w:val="0"/>
                <w:sz w:val="22"/>
              </w:rPr>
              <w:t>大连港湾液体储罐码头有限公司在相关市场的市场份额为</w:t>
            </w:r>
            <w:r>
              <w:rPr>
                <w:rFonts w:hint="eastAsia" w:ascii="仿宋" w:hAnsi="仿宋" w:eastAsia="仿宋" w:cs="宋体"/>
                <w:color w:val="333333"/>
                <w:kern w:val="0"/>
                <w:sz w:val="22"/>
                <w:lang w:eastAsia="zh-CN"/>
              </w:rPr>
              <w:t>【</w:t>
            </w:r>
            <w:r>
              <w:rPr>
                <w:rFonts w:hint="eastAsia" w:ascii="仿宋" w:hAnsi="仿宋" w:eastAsia="仿宋" w:cs="宋体"/>
                <w:color w:val="333333"/>
                <w:kern w:val="0"/>
                <w:sz w:val="22"/>
                <w:lang w:val="en-US" w:eastAsia="zh-CN"/>
              </w:rPr>
              <w:t>0-5</w:t>
            </w:r>
            <w:r>
              <w:rPr>
                <w:rFonts w:hint="eastAsia" w:ascii="仿宋" w:hAnsi="仿宋" w:eastAsia="仿宋" w:cs="宋体"/>
                <w:color w:val="333333"/>
                <w:kern w:val="0"/>
                <w:sz w:val="22"/>
                <w:lang w:eastAsia="zh-CN"/>
              </w:rPr>
              <w:t>】</w:t>
            </w:r>
            <w:r>
              <w:rPr>
                <w:rFonts w:hint="eastAsia" w:ascii="仿宋" w:hAnsi="仿宋" w:eastAsia="仿宋" w:cs="宋体"/>
                <w:color w:val="333333"/>
                <w:kern w:val="0"/>
                <w:sz w:val="22"/>
              </w:rPr>
              <w:t>%</w:t>
            </w:r>
            <w:r>
              <w:rPr>
                <w:rFonts w:hint="eastAsia" w:ascii="仿宋" w:hAnsi="仿宋" w:eastAsia="仿宋" w:cs="宋体"/>
                <w:color w:val="333333"/>
                <w:kern w:val="0"/>
                <w:sz w:val="22"/>
                <w:lang w:eastAsia="zh-CN"/>
              </w:rPr>
              <w:t>；</w:t>
            </w:r>
          </w:p>
          <w:p>
            <w:pPr>
              <w:spacing w:line="500" w:lineRule="exact"/>
              <w:rPr>
                <w:rFonts w:hint="eastAsia" w:eastAsia="仿宋"/>
                <w:lang w:eastAsia="zh-CN"/>
              </w:rPr>
            </w:pPr>
            <w:r>
              <w:rPr>
                <w:rFonts w:ascii="仿宋" w:hAnsi="仿宋" w:eastAsia="仿宋" w:cs="宋体"/>
                <w:color w:val="333333"/>
                <w:kern w:val="0"/>
                <w:sz w:val="22"/>
              </w:rPr>
              <w:t>大连港股份有限公司在相关市场的市场份额为</w:t>
            </w:r>
            <w:r>
              <w:rPr>
                <w:rFonts w:hint="eastAsia" w:ascii="仿宋" w:hAnsi="仿宋" w:eastAsia="仿宋" w:cs="宋体"/>
                <w:color w:val="333333"/>
                <w:kern w:val="0"/>
                <w:sz w:val="22"/>
                <w:lang w:eastAsia="zh-CN"/>
              </w:rPr>
              <w:t>【</w:t>
            </w:r>
            <w:r>
              <w:rPr>
                <w:rFonts w:hint="eastAsia" w:ascii="仿宋" w:hAnsi="仿宋" w:eastAsia="仿宋" w:cs="宋体"/>
                <w:color w:val="333333"/>
                <w:kern w:val="0"/>
                <w:sz w:val="22"/>
                <w:lang w:val="en-US" w:eastAsia="zh-CN"/>
              </w:rPr>
              <w:t>10-15</w:t>
            </w:r>
            <w:r>
              <w:rPr>
                <w:rFonts w:hint="eastAsia" w:ascii="仿宋" w:hAnsi="仿宋" w:eastAsia="仿宋" w:cs="宋体"/>
                <w:color w:val="333333"/>
                <w:kern w:val="0"/>
                <w:sz w:val="22"/>
                <w:lang w:eastAsia="zh-CN"/>
              </w:rPr>
              <w:t>】</w:t>
            </w:r>
            <w:r>
              <w:rPr>
                <w:rFonts w:ascii="仿宋" w:hAnsi="仿宋" w:eastAsia="仿宋" w:cs="宋体"/>
                <w:color w:val="333333"/>
                <w:kern w:val="0"/>
                <w:sz w:val="22"/>
              </w:rPr>
              <w:t>%</w:t>
            </w:r>
            <w:r>
              <w:rPr>
                <w:rFonts w:hint="eastAsia" w:ascii="仿宋" w:hAnsi="仿宋" w:eastAsia="仿宋" w:cs="宋体"/>
                <w:color w:val="333333"/>
                <w:kern w:val="0"/>
                <w:sz w:val="22"/>
                <w:lang w:eastAsia="zh-CN"/>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楷体" w:hAnsi="楷体" w:eastAsia="楷体"/>
          <w:sz w:val="24"/>
          <w:szCs w:val="24"/>
        </w:rPr>
      </w:pPr>
      <w:r>
        <w:rPr>
          <w:rFonts w:hint="eastAsia" w:ascii="楷体" w:hAnsi="楷体" w:eastAsia="楷体"/>
          <w:sz w:val="24"/>
          <w:szCs w:val="24"/>
        </w:rPr>
        <w:t>注解：</w:t>
      </w:r>
    </w:p>
    <w:p>
      <w:pPr>
        <w:snapToGrid w:val="0"/>
        <w:spacing w:line="360" w:lineRule="auto"/>
        <w:ind w:firstLine="480" w:firstLineChars="200"/>
        <w:jc w:val="left"/>
        <w:rPr>
          <w:rFonts w:ascii="楷体" w:hAnsi="楷体" w:eastAsia="楷体"/>
          <w:sz w:val="24"/>
          <w:szCs w:val="24"/>
        </w:rPr>
      </w:pPr>
      <w:r>
        <w:rPr>
          <w:rFonts w:hint="eastAsia" w:ascii="楷体" w:hAnsi="楷体" w:eastAsia="楷体"/>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楷体" w:hAnsi="楷体" w:eastAsia="楷体"/>
          <w:sz w:val="28"/>
          <w:szCs w:val="28"/>
        </w:rPr>
      </w:pPr>
      <w:r>
        <w:rPr>
          <w:rFonts w:hint="eastAsia" w:ascii="楷体" w:hAnsi="楷体" w:eastAsia="楷体"/>
          <w:sz w:val="24"/>
          <w:szCs w:val="24"/>
        </w:rPr>
        <w:t>2.申报方申请简易案件的理由是基于第4项、第5项时，无须在备注中说明相关市场和市场份额。</w:t>
      </w:r>
      <w:r>
        <w:rPr>
          <w:rFonts w:hint="eastAsia" w:ascii="楷体" w:hAnsi="楷体" w:eastAsia="楷体"/>
          <w:sz w:val="24"/>
          <w:szCs w:val="24"/>
        </w:rPr>
        <w:br w:type="textWrapping"/>
      </w:r>
      <w:r>
        <w:rPr>
          <w:rFonts w:hint="eastAsia" w:ascii="楷体" w:hAnsi="楷体" w:eastAsia="楷体"/>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roman"/>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51833"/>
    <w:rsid w:val="000C5EE9"/>
    <w:rsid w:val="000D7EBA"/>
    <w:rsid w:val="001164CD"/>
    <w:rsid w:val="001462B0"/>
    <w:rsid w:val="00155717"/>
    <w:rsid w:val="001837A3"/>
    <w:rsid w:val="001F1792"/>
    <w:rsid w:val="001F39F7"/>
    <w:rsid w:val="00225B05"/>
    <w:rsid w:val="00234781"/>
    <w:rsid w:val="002C2C73"/>
    <w:rsid w:val="002F0285"/>
    <w:rsid w:val="003B09F5"/>
    <w:rsid w:val="003C0AEB"/>
    <w:rsid w:val="0041126E"/>
    <w:rsid w:val="004113AF"/>
    <w:rsid w:val="004906C2"/>
    <w:rsid w:val="004A1105"/>
    <w:rsid w:val="004F7688"/>
    <w:rsid w:val="005673C6"/>
    <w:rsid w:val="00570EC9"/>
    <w:rsid w:val="005F4E8A"/>
    <w:rsid w:val="00610B33"/>
    <w:rsid w:val="006467D8"/>
    <w:rsid w:val="006A531B"/>
    <w:rsid w:val="006D0CBA"/>
    <w:rsid w:val="006F7693"/>
    <w:rsid w:val="00710140"/>
    <w:rsid w:val="007956E3"/>
    <w:rsid w:val="007F2275"/>
    <w:rsid w:val="00870217"/>
    <w:rsid w:val="00915F0F"/>
    <w:rsid w:val="009532DF"/>
    <w:rsid w:val="00982530"/>
    <w:rsid w:val="00985DD1"/>
    <w:rsid w:val="00992931"/>
    <w:rsid w:val="00997019"/>
    <w:rsid w:val="009A5029"/>
    <w:rsid w:val="009D38D5"/>
    <w:rsid w:val="00A0109C"/>
    <w:rsid w:val="00A15302"/>
    <w:rsid w:val="00A26DFE"/>
    <w:rsid w:val="00A53F26"/>
    <w:rsid w:val="00AA0CC5"/>
    <w:rsid w:val="00B16AFE"/>
    <w:rsid w:val="00B65DD5"/>
    <w:rsid w:val="00BD0A2E"/>
    <w:rsid w:val="00BD10B6"/>
    <w:rsid w:val="00C07076"/>
    <w:rsid w:val="00C109D6"/>
    <w:rsid w:val="00C239AE"/>
    <w:rsid w:val="00C603EC"/>
    <w:rsid w:val="00C861D2"/>
    <w:rsid w:val="00CB00DF"/>
    <w:rsid w:val="00D27EC4"/>
    <w:rsid w:val="00D73C72"/>
    <w:rsid w:val="00D901E4"/>
    <w:rsid w:val="00DD7DF0"/>
    <w:rsid w:val="00DF6D2A"/>
    <w:rsid w:val="00E0592B"/>
    <w:rsid w:val="00E31738"/>
    <w:rsid w:val="00E86786"/>
    <w:rsid w:val="00EC224E"/>
    <w:rsid w:val="00ED2F80"/>
    <w:rsid w:val="00F06754"/>
    <w:rsid w:val="00F1624E"/>
    <w:rsid w:val="00F32F8A"/>
    <w:rsid w:val="00F810AA"/>
    <w:rsid w:val="00F874F0"/>
    <w:rsid w:val="00FB43EC"/>
    <w:rsid w:val="00FB6B40"/>
    <w:rsid w:val="00FD227B"/>
    <w:rsid w:val="079459AA"/>
    <w:rsid w:val="190A6B79"/>
    <w:rsid w:val="287847D1"/>
    <w:rsid w:val="2C6A61E6"/>
    <w:rsid w:val="30220CF5"/>
    <w:rsid w:val="31F6344A"/>
    <w:rsid w:val="5428033E"/>
    <w:rsid w:val="554B4A9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uiPriority w:val="99"/>
    <w:pPr>
      <w:tabs>
        <w:tab w:val="center" w:pos="4153"/>
        <w:tab w:val="right" w:pos="8306"/>
      </w:tabs>
    </w:pPr>
  </w:style>
  <w:style w:type="paragraph" w:styleId="4">
    <w:name w:val="header"/>
    <w:basedOn w:val="1"/>
    <w:link w:val="7"/>
    <w:unhideWhenUsed/>
    <w:uiPriority w:val="99"/>
    <w:pPr>
      <w:tabs>
        <w:tab w:val="center" w:pos="4153"/>
        <w:tab w:val="right" w:pos="8306"/>
      </w:tabs>
    </w:pPr>
  </w:style>
  <w:style w:type="character" w:customStyle="1" w:styleId="7">
    <w:name w:val="Header Char"/>
    <w:basedOn w:val="5"/>
    <w:link w:val="4"/>
    <w:uiPriority w:val="99"/>
    <w:rPr>
      <w:rFonts w:ascii="Calibri" w:hAnsi="Calibri" w:eastAsia="宋体" w:cs="Times New Roman"/>
    </w:rPr>
  </w:style>
  <w:style w:type="character" w:customStyle="1" w:styleId="8">
    <w:name w:val="Footer Char"/>
    <w:basedOn w:val="5"/>
    <w:link w:val="3"/>
    <w:uiPriority w:val="99"/>
    <w:rPr>
      <w:rFonts w:ascii="Calibri" w:hAnsi="Calibri" w:eastAsia="宋体" w:cs="Times New Roman"/>
    </w:rPr>
  </w:style>
  <w:style w:type="character" w:customStyle="1" w:styleId="9">
    <w:name w:val="Balloon Text Char"/>
    <w:basedOn w:val="5"/>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204</Words>
  <Characters>1168</Characters>
  <Lines>9</Lines>
  <Paragraphs>2</Paragraphs>
  <TotalTime>149</TotalTime>
  <ScaleCrop>false</ScaleCrop>
  <LinksUpToDate>false</LinksUpToDate>
  <CharactersWithSpaces>1370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Administrator</cp:lastModifiedBy>
  <dcterms:modified xsi:type="dcterms:W3CDTF">2020-03-13T09:49:04Z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