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527" w:rsidRPr="00035259" w:rsidRDefault="00522527" w:rsidP="00CB00DF">
      <w:pPr>
        <w:spacing w:line="440" w:lineRule="exact"/>
        <w:jc w:val="center"/>
        <w:rPr>
          <w:rFonts w:ascii="Times New Roman" w:eastAsia="楷体_GB2312" w:hAnsi="Times New Roman"/>
          <w:b/>
          <w:sz w:val="24"/>
          <w:szCs w:val="24"/>
        </w:rPr>
      </w:pPr>
    </w:p>
    <w:p w:rsidR="00CB00DF" w:rsidRPr="00035259" w:rsidRDefault="00CB00DF" w:rsidP="00CB00DF">
      <w:pPr>
        <w:spacing w:line="440" w:lineRule="exact"/>
        <w:jc w:val="center"/>
        <w:rPr>
          <w:rFonts w:ascii="Times New Roman" w:eastAsia="楷体_GB2312" w:hAnsi="Times New Roman"/>
          <w:b/>
          <w:sz w:val="24"/>
          <w:szCs w:val="24"/>
        </w:rPr>
      </w:pPr>
      <w:r w:rsidRPr="00035259">
        <w:rPr>
          <w:rFonts w:ascii="Times New Roman" w:eastAsia="楷体_GB2312" w:hAnsi="Times New Roman"/>
          <w:b/>
          <w:sz w:val="24"/>
          <w:szCs w:val="24"/>
        </w:rPr>
        <w:t>经营者集中简易案件公示表</w:t>
      </w:r>
    </w:p>
    <w:p w:rsidR="00CB00DF" w:rsidRPr="00035259" w:rsidRDefault="00CB00DF" w:rsidP="00CB00DF">
      <w:pPr>
        <w:spacing w:line="440" w:lineRule="exact"/>
        <w:rPr>
          <w:rFonts w:ascii="Times New Roman" w:eastAsia="楷体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035259" w:rsidTr="00F27A75">
        <w:tc>
          <w:tcPr>
            <w:tcW w:w="1809" w:type="dxa"/>
            <w:shd w:val="clear" w:color="auto" w:fill="D9D9D9"/>
            <w:vAlign w:val="center"/>
          </w:tcPr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035259" w:rsidRDefault="000B3D78" w:rsidP="0044189C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 w:hint="eastAsia"/>
                <w:bCs/>
                <w:kern w:val="0"/>
                <w:sz w:val="24"/>
                <w:szCs w:val="24"/>
              </w:rPr>
              <w:t>殷拓基金管理有限公司（“</w:t>
            </w:r>
            <w:r w:rsidRPr="00035259">
              <w:rPr>
                <w:rFonts w:ascii="Times New Roman" w:eastAsia="楷体_GB2312" w:hAnsi="Times New Roman" w:hint="eastAsia"/>
                <w:b/>
                <w:bCs/>
                <w:kern w:val="0"/>
                <w:sz w:val="24"/>
                <w:szCs w:val="24"/>
              </w:rPr>
              <w:t>殷拓</w:t>
            </w:r>
            <w:r w:rsidRPr="00035259">
              <w:rPr>
                <w:rFonts w:ascii="Times New Roman" w:eastAsia="楷体_GB2312" w:hAnsi="Times New Roman" w:hint="eastAsia"/>
                <w:bCs/>
                <w:kern w:val="0"/>
                <w:sz w:val="24"/>
                <w:szCs w:val="24"/>
              </w:rPr>
              <w:t>”）收购</w:t>
            </w:r>
            <w:r w:rsidR="0044189C" w:rsidRPr="00035259">
              <w:rPr>
                <w:rFonts w:ascii="Times New Roman" w:eastAsia="楷体_GB2312" w:hAnsi="Times New Roman"/>
                <w:bCs/>
                <w:kern w:val="0"/>
                <w:sz w:val="24"/>
                <w:szCs w:val="24"/>
              </w:rPr>
              <w:t>Hitched Holdings 1 B.V.</w:t>
            </w:r>
            <w:r w:rsidRPr="00035259">
              <w:rPr>
                <w:rFonts w:ascii="Times New Roman" w:eastAsia="楷体_GB2312" w:hAnsi="Times New Roman" w:hint="eastAsia"/>
                <w:bCs/>
                <w:kern w:val="0"/>
                <w:sz w:val="24"/>
                <w:szCs w:val="24"/>
              </w:rPr>
              <w:t>（“</w:t>
            </w:r>
            <w:r w:rsidR="0044189C" w:rsidRPr="00035259">
              <w:rPr>
                <w:rFonts w:ascii="Times New Roman" w:eastAsia="楷体_GB2312" w:hAnsi="Times New Roman" w:hint="eastAsia"/>
                <w:b/>
                <w:bCs/>
                <w:kern w:val="0"/>
                <w:sz w:val="24"/>
                <w:szCs w:val="24"/>
              </w:rPr>
              <w:t>H</w:t>
            </w:r>
            <w:r w:rsidR="0044189C" w:rsidRPr="00035259">
              <w:rPr>
                <w:rFonts w:ascii="Times New Roman" w:eastAsia="楷体_GB2312" w:hAnsi="Times New Roman"/>
                <w:b/>
                <w:bCs/>
                <w:kern w:val="0"/>
                <w:sz w:val="24"/>
                <w:szCs w:val="24"/>
              </w:rPr>
              <w:t>H1</w:t>
            </w:r>
            <w:r w:rsidRPr="00035259">
              <w:rPr>
                <w:rFonts w:ascii="Times New Roman" w:eastAsia="楷体_GB2312" w:hAnsi="Times New Roman" w:hint="eastAsia"/>
                <w:bCs/>
                <w:kern w:val="0"/>
                <w:sz w:val="24"/>
                <w:szCs w:val="24"/>
              </w:rPr>
              <w:t>”）股权案</w:t>
            </w:r>
            <w:r w:rsidR="0044189C" w:rsidRPr="00035259">
              <w:rPr>
                <w:rFonts w:ascii="Times New Roman" w:eastAsia="楷体_GB2312" w:hAnsi="Times New Roman" w:hint="eastAsia"/>
                <w:bCs/>
                <w:kern w:val="0"/>
                <w:sz w:val="24"/>
                <w:szCs w:val="24"/>
              </w:rPr>
              <w:t>（“</w:t>
            </w:r>
            <w:r w:rsidR="0044189C" w:rsidRPr="00035259">
              <w:rPr>
                <w:rFonts w:ascii="Times New Roman" w:eastAsia="楷体_GB2312" w:hAnsi="Times New Roman" w:hint="eastAsia"/>
                <w:b/>
                <w:bCs/>
                <w:kern w:val="0"/>
                <w:sz w:val="24"/>
                <w:szCs w:val="24"/>
              </w:rPr>
              <w:t>本次交易</w:t>
            </w:r>
            <w:r w:rsidR="0044189C" w:rsidRPr="00035259">
              <w:rPr>
                <w:rFonts w:ascii="Times New Roman" w:eastAsia="楷体_GB2312" w:hAnsi="Times New Roman" w:hint="eastAsia"/>
                <w:bCs/>
                <w:kern w:val="0"/>
                <w:sz w:val="24"/>
                <w:szCs w:val="24"/>
              </w:rPr>
              <w:t>”）</w:t>
            </w:r>
          </w:p>
        </w:tc>
      </w:tr>
      <w:tr w:rsidR="00CB00DF" w:rsidRPr="00035259" w:rsidTr="00F27A7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0B3D78" w:rsidRPr="00035259" w:rsidRDefault="0044189C" w:rsidP="000B3D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殷拓拟</w:t>
            </w:r>
            <w:r w:rsidR="00035259">
              <w:rPr>
                <w:rFonts w:ascii="Times New Roman" w:eastAsia="楷体_GB2312" w:hAnsi="Times New Roman" w:hint="eastAsia"/>
                <w:sz w:val="24"/>
                <w:szCs w:val="24"/>
              </w:rPr>
              <w:t>通过</w:t>
            </w:r>
            <w:r w:rsidR="0057511F">
              <w:rPr>
                <w:rFonts w:ascii="Times New Roman" w:eastAsia="楷体_GB2312" w:hAnsi="Times New Roman" w:hint="eastAsia"/>
                <w:sz w:val="24"/>
                <w:szCs w:val="24"/>
              </w:rPr>
              <w:t>由其管理的</w:t>
            </w:r>
            <w:r w:rsidR="0057511F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殷拓中型市场信贷及殷拓中型市场信贷</w:t>
            </w:r>
            <w:r w:rsidR="0057511F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II</w:t>
            </w:r>
            <w:r w:rsidR="0057511F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="0057511F" w:rsidRPr="0057511F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殷拓信贷基金</w:t>
            </w:r>
            <w:r w:rsidR="0057511F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="00035259">
              <w:rPr>
                <w:rFonts w:ascii="Times New Roman" w:eastAsia="楷体_GB2312" w:hAnsi="Times New Roman" w:hint="eastAsia"/>
                <w:sz w:val="24"/>
                <w:szCs w:val="24"/>
              </w:rPr>
              <w:t>取得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HH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及其子公司（“</w:t>
            </w:r>
            <w:r w:rsidRPr="00035259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目标公司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”）的共同控制权。</w:t>
            </w:r>
            <w:r w:rsidR="0057511F" w:rsidRPr="0057511F">
              <w:rPr>
                <w:rFonts w:ascii="Times New Roman" w:eastAsia="楷体_GB2312" w:hAnsi="Times New Roman" w:hint="eastAsia"/>
                <w:sz w:val="24"/>
                <w:szCs w:val="24"/>
              </w:rPr>
              <w:t>殷拓信贷基金</w:t>
            </w:r>
            <w:r w:rsidRPr="0057511F">
              <w:rPr>
                <w:rFonts w:ascii="Times New Roman" w:eastAsia="楷体_GB2312" w:hAnsi="Times New Roman" w:hint="eastAsia"/>
                <w:sz w:val="24"/>
                <w:szCs w:val="24"/>
              </w:rPr>
              <w:t>为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目标公司现有</w:t>
            </w:r>
            <w:r w:rsidR="008B39CA">
              <w:rPr>
                <w:rFonts w:ascii="Times New Roman" w:eastAsia="楷体_GB2312" w:hAnsi="Times New Roman" w:hint="eastAsia"/>
                <w:sz w:val="24"/>
                <w:szCs w:val="24"/>
              </w:rPr>
              <w:t>贷款</w:t>
            </w:r>
            <w:r w:rsidR="006200BA">
              <w:rPr>
                <w:rFonts w:ascii="Times New Roman" w:eastAsia="楷体_GB2312" w:hAnsi="Times New Roman" w:hint="eastAsia"/>
                <w:sz w:val="24"/>
                <w:szCs w:val="24"/>
              </w:rPr>
              <w:t>方，拟在本次交易中将其债权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转化为股权。</w:t>
            </w:r>
          </w:p>
          <w:p w:rsidR="0044189C" w:rsidRPr="00035259" w:rsidRDefault="0044189C" w:rsidP="0057511F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本次交易前，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TowerBrook Capital Partners, L.P.</w:t>
            </w:r>
            <w:r w:rsidR="0057511F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="0057511F" w:rsidRPr="0057511F">
              <w:rPr>
                <w:rFonts w:ascii="Times New Roman" w:eastAsia="楷体_GB2312" w:hAnsi="Times New Roman"/>
                <w:b/>
                <w:sz w:val="24"/>
                <w:szCs w:val="24"/>
              </w:rPr>
              <w:t>TowerBrook</w:t>
            </w:r>
            <w:r w:rsidR="0057511F">
              <w:rPr>
                <w:rFonts w:ascii="Times New Roman" w:eastAsia="楷体_GB2312" w:hAnsi="Times New Roman" w:hint="eastAsia"/>
                <w:sz w:val="24"/>
                <w:szCs w:val="24"/>
              </w:rPr>
              <w:t>”）为单独控制目标公司的母公司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。本次交易后，殷拓将持有目标公司合计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45%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的普通股，并在目标公司股东大会上持有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50%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的投票权。殷拓将与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TowerBrook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共同控制目标公司。</w:t>
            </w:r>
          </w:p>
        </w:tc>
      </w:tr>
      <w:tr w:rsidR="007C46E3" w:rsidRPr="00035259" w:rsidTr="00F27A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C46E3" w:rsidRPr="00035259" w:rsidRDefault="007C46E3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7C46E3" w:rsidRPr="00035259" w:rsidRDefault="007C46E3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7C46E3" w:rsidRPr="00035259" w:rsidRDefault="007C46E3" w:rsidP="001412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、</w:t>
            </w:r>
            <w:r w:rsidR="000B3D78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殷拓</w:t>
            </w:r>
          </w:p>
        </w:tc>
        <w:tc>
          <w:tcPr>
            <w:tcW w:w="5153" w:type="dxa"/>
            <w:vAlign w:val="center"/>
          </w:tcPr>
          <w:p w:rsidR="0071261C" w:rsidRPr="00035259" w:rsidRDefault="0071261C" w:rsidP="0071261C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殷拓是殷拓集团（</w:t>
            </w:r>
            <w:r w:rsidR="00035259" w:rsidRPr="00035259">
              <w:rPr>
                <w:rFonts w:ascii="Times New Roman" w:eastAsia="楷体_GB2312" w:hAnsi="Times New Roman"/>
                <w:sz w:val="24"/>
                <w:szCs w:val="24"/>
              </w:rPr>
              <w:t>EQT Partners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及其控制的所有基金统称为“</w:t>
            </w:r>
            <w:r w:rsidRPr="00035259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殷拓集团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”）旗下的基金</w:t>
            </w:r>
            <w:r w:rsidR="00FF3079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殷拓中型市场信贷及殷拓中型市场信贷</w:t>
            </w:r>
            <w:r w:rsidR="00FF3079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II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的管理人。</w:t>
            </w:r>
          </w:p>
          <w:p w:rsidR="007C46E3" w:rsidRPr="00035259" w:rsidRDefault="000B3D78" w:rsidP="009F7295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殷拓集团在全球范围内投资优质公司，其目的是帮助上述公司成为可持续发展和业界领先的公司。殷拓集团在中国的主要投资项目包括连锁餐厅、教育集团、</w:t>
            </w:r>
            <w:r w:rsidR="00AA1A3D">
              <w:rPr>
                <w:rFonts w:ascii="Times New Roman" w:eastAsia="楷体_GB2312" w:hAnsi="Times New Roman" w:hint="eastAsia"/>
                <w:sz w:val="24"/>
                <w:szCs w:val="24"/>
              </w:rPr>
              <w:t>第三方支付服务</w:t>
            </w:r>
            <w:r w:rsidR="007062EE">
              <w:rPr>
                <w:rFonts w:ascii="Times New Roman" w:eastAsia="楷体_GB2312" w:hAnsi="Times New Roman" w:hint="eastAsia"/>
                <w:sz w:val="24"/>
                <w:szCs w:val="24"/>
              </w:rPr>
              <w:t>机构以及一家护肤公司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等。</w:t>
            </w:r>
            <w:r w:rsidR="00FF3079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殷拓集团</w:t>
            </w:r>
            <w:r w:rsidR="009F7295">
              <w:rPr>
                <w:rFonts w:ascii="Times New Roman" w:eastAsia="楷体_GB2312" w:hAnsi="Times New Roman" w:hint="eastAsia"/>
                <w:sz w:val="24"/>
                <w:szCs w:val="24"/>
              </w:rPr>
              <w:t>所控制的公司均未</w:t>
            </w:r>
            <w:r w:rsidR="00FF3079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在中国境内从事任何汽车零部件的生产或销售业务。</w:t>
            </w:r>
          </w:p>
        </w:tc>
      </w:tr>
      <w:tr w:rsidR="007C46E3" w:rsidRPr="00035259" w:rsidTr="00F27A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7C46E3" w:rsidRPr="00035259" w:rsidRDefault="007C46E3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7C46E3" w:rsidRPr="00035259" w:rsidRDefault="007C46E3" w:rsidP="001412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、</w:t>
            </w:r>
            <w:r w:rsidR="00141278">
              <w:rPr>
                <w:rFonts w:ascii="Times New Roman" w:eastAsia="楷体_GB2312" w:hAnsi="Times New Roman" w:hint="eastAsia"/>
                <w:sz w:val="24"/>
                <w:szCs w:val="24"/>
              </w:rPr>
              <w:t>TowerBrook</w:t>
            </w:r>
          </w:p>
        </w:tc>
        <w:tc>
          <w:tcPr>
            <w:tcW w:w="5153" w:type="dxa"/>
            <w:vAlign w:val="center"/>
          </w:tcPr>
          <w:p w:rsidR="00141278" w:rsidRDefault="00141278" w:rsidP="00FF3079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141278">
              <w:rPr>
                <w:rFonts w:ascii="Times New Roman" w:eastAsia="楷体_GB2312" w:hAnsi="Times New Roman" w:hint="eastAsia"/>
                <w:sz w:val="24"/>
                <w:szCs w:val="24"/>
              </w:rPr>
              <w:t>TowerBrook</w:t>
            </w:r>
            <w:r w:rsidRPr="00141278">
              <w:rPr>
                <w:rFonts w:ascii="Times New Roman" w:eastAsia="楷体_GB2312" w:hAnsi="Times New Roman" w:hint="eastAsia"/>
                <w:sz w:val="24"/>
                <w:szCs w:val="24"/>
              </w:rPr>
              <w:t>是一家投资管理公司，旨在为投资者创造价值。该公司在欧洲和美国开展业务，专注于在欧洲和北美地区大中型市场的公司进行投资。</w:t>
            </w:r>
          </w:p>
          <w:p w:rsidR="00FF3079" w:rsidRPr="00035259" w:rsidRDefault="00CA0E92" w:rsidP="00FF3079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FF3079" w:rsidRPr="00035259">
              <w:rPr>
                <w:rFonts w:ascii="Times New Roman" w:eastAsia="楷体_GB2312" w:hAnsi="Times New Roman"/>
                <w:sz w:val="24"/>
                <w:szCs w:val="24"/>
              </w:rPr>
              <w:t>主要通过</w:t>
            </w:r>
            <w:r w:rsidR="00FF3079" w:rsidRPr="00035259">
              <w:rPr>
                <w:rFonts w:ascii="Times New Roman" w:eastAsia="楷体_GB2312" w:hAnsi="Times New Roman"/>
                <w:sz w:val="24"/>
                <w:szCs w:val="24"/>
              </w:rPr>
              <w:t>ACPS Automotive</w:t>
            </w:r>
            <w:r w:rsidR="00FF3079" w:rsidRPr="00035259">
              <w:rPr>
                <w:rFonts w:ascii="Times New Roman" w:eastAsia="楷体_GB2312" w:hAnsi="Times New Roman"/>
                <w:sz w:val="24"/>
                <w:szCs w:val="24"/>
              </w:rPr>
              <w:t>（</w:t>
            </w:r>
            <w:r w:rsidR="00FF3079" w:rsidRPr="00035259">
              <w:rPr>
                <w:rFonts w:ascii="Times New Roman" w:eastAsia="楷体_GB2312" w:hAnsi="Times New Roman"/>
                <w:sz w:val="24"/>
                <w:szCs w:val="24"/>
              </w:rPr>
              <w:t>“</w:t>
            </w:r>
            <w:r w:rsidR="00FF3079" w:rsidRPr="00035259">
              <w:rPr>
                <w:rFonts w:ascii="Times New Roman" w:eastAsia="楷体_GB2312" w:hAnsi="Times New Roman"/>
                <w:b/>
                <w:sz w:val="24"/>
                <w:szCs w:val="24"/>
              </w:rPr>
              <w:t>ACPS</w:t>
            </w:r>
            <w:r w:rsidR="00FF3079" w:rsidRPr="00035259">
              <w:rPr>
                <w:rFonts w:ascii="Times New Roman" w:eastAsia="楷体_GB2312" w:hAnsi="Times New Roman"/>
                <w:sz w:val="24"/>
                <w:szCs w:val="24"/>
              </w:rPr>
              <w:t>”</w:t>
            </w:r>
            <w:r w:rsidR="00FF3079" w:rsidRPr="00035259">
              <w:rPr>
                <w:rFonts w:ascii="Times New Roman" w:eastAsia="楷体_GB2312" w:hAnsi="Times New Roman"/>
                <w:sz w:val="24"/>
                <w:szCs w:val="24"/>
              </w:rPr>
              <w:t>）开展</w:t>
            </w:r>
            <w:r w:rsidR="00FF3079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相关业务</w:t>
            </w:r>
            <w:r w:rsidR="00FF3079" w:rsidRPr="00035259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  <w:p w:rsidR="00A03C71" w:rsidRPr="00035259" w:rsidRDefault="00FF3079" w:rsidP="00FF3079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lastRenderedPageBreak/>
              <w:t>ACPS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总部位于德国斯图加特，是一家全球性汽车设备及配件的制造商和批发商。具体而言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，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ACPS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主要生产和销售乘用车的拖车钩和挂车挂钩，以及轻型商用车和乘用车的载重系统（车顶架及横梁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)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  <w:p w:rsidR="00FF3079" w:rsidRPr="00035259" w:rsidRDefault="00FF3079" w:rsidP="00FF3079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在中国，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ACPS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仅</w:t>
            </w:r>
            <w:r w:rsidR="00035259">
              <w:rPr>
                <w:rFonts w:ascii="Times New Roman" w:eastAsia="楷体_GB2312" w:hAnsi="Times New Roman" w:hint="eastAsia"/>
                <w:sz w:val="24"/>
                <w:szCs w:val="24"/>
              </w:rPr>
              <w:t>向原始设备制造商</w:t>
            </w:r>
            <w:r w:rsidR="009F7295">
              <w:rPr>
                <w:rFonts w:ascii="Times New Roman" w:eastAsia="楷体_GB2312" w:hAnsi="Times New Roman" w:hint="eastAsia"/>
                <w:sz w:val="24"/>
                <w:szCs w:val="24"/>
              </w:rPr>
              <w:t>从事有限的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拖车钩</w:t>
            </w:r>
            <w:r w:rsidR="009F7295">
              <w:rPr>
                <w:rFonts w:ascii="Times New Roman" w:eastAsia="楷体_GB2312" w:hAnsi="Times New Roman" w:hint="eastAsia"/>
                <w:sz w:val="24"/>
                <w:szCs w:val="24"/>
              </w:rPr>
              <w:t>销售业务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</w:tc>
      </w:tr>
      <w:tr w:rsidR="00CB00DF" w:rsidRPr="00035259" w:rsidTr="00F27A7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035259" w:rsidRDefault="000B3D78" w:rsidP="001412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sym w:font="Wingdings" w:char="F0A8"/>
            </w:r>
            <w:r w:rsidR="007D7C9D" w:rsidRPr="00035259">
              <w:rPr>
                <w:rFonts w:ascii="Times New Roman" w:eastAsia="楷体_GB2312" w:hAnsi="Times New Roman"/>
                <w:sz w:val="24"/>
                <w:szCs w:val="24"/>
              </w:rPr>
              <w:t xml:space="preserve"> 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1.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在同一相关市场，所有参与集中的经营者所占市场份额之和小于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15%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CB00DF" w:rsidRPr="00035259" w:rsidTr="00F27A7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035259" w:rsidRDefault="00A03C71" w:rsidP="001412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sym w:font="Wingdings" w:char="F0A8"/>
            </w:r>
            <w:r w:rsidR="00B14FA5" w:rsidRPr="00035259">
              <w:rPr>
                <w:rFonts w:ascii="Times New Roman" w:eastAsia="楷体_GB2312" w:hAnsi="Times New Roman"/>
                <w:sz w:val="24"/>
                <w:szCs w:val="24"/>
              </w:rPr>
              <w:t xml:space="preserve"> 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2.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CB00DF" w:rsidRPr="00035259" w:rsidTr="00F27A7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035259" w:rsidRDefault="000B3D78" w:rsidP="001412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sym w:font="Wingdings" w:char="F0FE"/>
            </w:r>
            <w:r w:rsidR="007D7C9D" w:rsidRPr="00035259">
              <w:rPr>
                <w:rFonts w:ascii="Times New Roman" w:eastAsia="楷体_GB2312" w:hAnsi="Times New Roman"/>
                <w:sz w:val="24"/>
                <w:szCs w:val="24"/>
              </w:rPr>
              <w:t xml:space="preserve"> 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3.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CB00DF" w:rsidRPr="00035259" w:rsidTr="00F27A7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035259" w:rsidRDefault="007D7C9D" w:rsidP="001412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sym w:font="Wingdings" w:char="F0A8"/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 xml:space="preserve"> 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4.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B00DF" w:rsidRPr="00035259" w:rsidTr="00F27A7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035259" w:rsidRDefault="007D7C9D" w:rsidP="001412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sym w:font="Wingdings" w:char="F0A8"/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 xml:space="preserve"> 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5.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035259" w:rsidTr="00F27A7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035259" w:rsidRDefault="00FE6970" w:rsidP="00141278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sym w:font="Wingdings" w:char="F0A8"/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6.</w:t>
            </w:r>
            <w:r w:rsidR="00CB00DF" w:rsidRPr="00035259">
              <w:rPr>
                <w:rFonts w:ascii="Times New Roman" w:eastAsia="楷体_GB2312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035259" w:rsidTr="00F27A75">
        <w:tc>
          <w:tcPr>
            <w:tcW w:w="1809" w:type="dxa"/>
            <w:shd w:val="clear" w:color="auto" w:fill="D9D9D9"/>
            <w:vAlign w:val="center"/>
          </w:tcPr>
          <w:p w:rsidR="00CB00DF" w:rsidRPr="00035259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5259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7E6D05" w:rsidRPr="00035259" w:rsidRDefault="00FE6970" w:rsidP="00446797">
            <w:pPr>
              <w:spacing w:line="500" w:lineRule="exact"/>
              <w:rPr>
                <w:rFonts w:ascii="Times New Roman" w:eastAsia="楷体_GB2312" w:hAnsi="Times New Roman"/>
                <w:b/>
                <w:sz w:val="24"/>
                <w:szCs w:val="24"/>
                <w:u w:val="single"/>
              </w:rPr>
            </w:pPr>
            <w:r w:rsidRPr="00035259">
              <w:rPr>
                <w:rFonts w:ascii="Times New Roman" w:eastAsia="楷体_GB2312" w:hAnsi="Times New Roman"/>
                <w:b/>
                <w:sz w:val="24"/>
                <w:szCs w:val="24"/>
                <w:u w:val="single"/>
              </w:rPr>
              <w:t>相关市场界定</w:t>
            </w:r>
            <w:r w:rsidR="001A07DB" w:rsidRPr="00035259">
              <w:rPr>
                <w:rFonts w:ascii="Times New Roman" w:eastAsia="楷体_GB2312" w:hAnsi="Times New Roman"/>
                <w:b/>
                <w:sz w:val="24"/>
                <w:szCs w:val="24"/>
                <w:u w:val="single"/>
              </w:rPr>
              <w:t>及市场份额</w:t>
            </w:r>
            <w:r w:rsidR="007E6D05" w:rsidRPr="00035259">
              <w:rPr>
                <w:rFonts w:ascii="Times New Roman" w:eastAsia="楷体_GB2312" w:hAnsi="Times New Roman"/>
                <w:b/>
                <w:sz w:val="24"/>
                <w:szCs w:val="24"/>
                <w:u w:val="single"/>
              </w:rPr>
              <w:t>：</w:t>
            </w:r>
          </w:p>
          <w:p w:rsidR="003F389B" w:rsidRPr="00035259" w:rsidRDefault="007E6D05" w:rsidP="007E6D05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、</w:t>
            </w:r>
            <w:r w:rsidR="006200BA">
              <w:rPr>
                <w:rFonts w:ascii="Times New Roman" w:eastAsia="楷体_GB2312" w:hAnsi="Times New Roman" w:hint="eastAsia"/>
                <w:sz w:val="24"/>
                <w:szCs w:val="24"/>
              </w:rPr>
              <w:t>中国</w:t>
            </w:r>
            <w:r w:rsidR="0044189C"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拖车钩</w:t>
            </w:r>
            <w:r w:rsidR="00A03C71" w:rsidRPr="00035259">
              <w:rPr>
                <w:rFonts w:ascii="Times New Roman" w:eastAsia="楷体_GB2312" w:hAnsi="Times New Roman"/>
                <w:sz w:val="24"/>
                <w:szCs w:val="24"/>
              </w:rPr>
              <w:t>市场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：</w:t>
            </w:r>
          </w:p>
          <w:p w:rsidR="007E6D05" w:rsidRPr="00035259" w:rsidRDefault="0044189C" w:rsidP="0044189C">
            <w:pPr>
              <w:spacing w:line="500" w:lineRule="exact"/>
              <w:ind w:firstLineChars="200" w:firstLine="480"/>
              <w:rPr>
                <w:rFonts w:ascii="Times New Roman" w:eastAsia="楷体_GB2312" w:hAnsi="Times New Roman" w:hint="eastAsia"/>
                <w:sz w:val="24"/>
                <w:szCs w:val="24"/>
              </w:rPr>
            </w:pP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HH</w:t>
            </w:r>
            <w:r w:rsidRPr="00035259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（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ACPS</w:t>
            </w:r>
            <w:r w:rsidRPr="00035259">
              <w:rPr>
                <w:rFonts w:ascii="Times New Roman" w:eastAsia="楷体_GB2312" w:hAnsi="Times New Roman" w:hint="eastAsia"/>
                <w:sz w:val="24"/>
                <w:szCs w:val="24"/>
              </w:rPr>
              <w:t>）</w:t>
            </w:r>
            <w:r w:rsidR="003F389B" w:rsidRPr="00035259">
              <w:rPr>
                <w:rFonts w:ascii="Times New Roman" w:eastAsia="楷体_GB2312" w:hAnsi="Times New Roman"/>
                <w:sz w:val="24"/>
                <w:szCs w:val="24"/>
              </w:rPr>
              <w:t>：</w:t>
            </w:r>
            <w:r w:rsidR="007E6D05" w:rsidRPr="00035259">
              <w:rPr>
                <w:rFonts w:ascii="Times New Roman" w:eastAsia="楷体_GB2312" w:hAnsi="Times New Roman"/>
                <w:sz w:val="24"/>
                <w:szCs w:val="24"/>
              </w:rPr>
              <w:t>[0-5]%</w:t>
            </w:r>
            <w:bookmarkStart w:id="0" w:name="_GoBack"/>
            <w:bookmarkEnd w:id="0"/>
          </w:p>
        </w:tc>
      </w:tr>
    </w:tbl>
    <w:p w:rsidR="00CB00DF" w:rsidRPr="00035259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141278" w:rsidRPr="00035259" w:rsidRDefault="00141278">
      <w:pPr>
        <w:rPr>
          <w:rFonts w:ascii="Times New Roman" w:eastAsia="仿宋_GB2312" w:hAnsi="Times New Roman"/>
          <w:sz w:val="24"/>
          <w:szCs w:val="24"/>
        </w:rPr>
      </w:pPr>
    </w:p>
    <w:sectPr w:rsidR="00141278" w:rsidRPr="00035259" w:rsidSect="00141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1278" w:rsidRDefault="00141278" w:rsidP="00522527">
      <w:r>
        <w:separator/>
      </w:r>
    </w:p>
  </w:endnote>
  <w:endnote w:type="continuationSeparator" w:id="0">
    <w:p w:rsidR="00141278" w:rsidRDefault="00141278" w:rsidP="0052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1278" w:rsidRDefault="00141278" w:rsidP="00522527">
      <w:r>
        <w:separator/>
      </w:r>
    </w:p>
  </w:footnote>
  <w:footnote w:type="continuationSeparator" w:id="0">
    <w:p w:rsidR="00141278" w:rsidRDefault="00141278" w:rsidP="00522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D717D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887430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241824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2F3E79"/>
    <w:multiLevelType w:val="hybridMultilevel"/>
    <w:tmpl w:val="63A2A6C2"/>
    <w:lvl w:ilvl="0" w:tplc="B4129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3E38BC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479"/>
    <w:rsid w:val="00035259"/>
    <w:rsid w:val="00037065"/>
    <w:rsid w:val="00082622"/>
    <w:rsid w:val="000B3D78"/>
    <w:rsid w:val="000D7EBA"/>
    <w:rsid w:val="0010782F"/>
    <w:rsid w:val="001164CD"/>
    <w:rsid w:val="00141278"/>
    <w:rsid w:val="00155717"/>
    <w:rsid w:val="001837A3"/>
    <w:rsid w:val="00197670"/>
    <w:rsid w:val="001A07DB"/>
    <w:rsid w:val="001E58E7"/>
    <w:rsid w:val="002836F8"/>
    <w:rsid w:val="002C5055"/>
    <w:rsid w:val="00330118"/>
    <w:rsid w:val="0035482C"/>
    <w:rsid w:val="003C0AEB"/>
    <w:rsid w:val="003C7C75"/>
    <w:rsid w:val="003F389B"/>
    <w:rsid w:val="0044189C"/>
    <w:rsid w:val="00446797"/>
    <w:rsid w:val="004647E8"/>
    <w:rsid w:val="00493857"/>
    <w:rsid w:val="004E5A0D"/>
    <w:rsid w:val="004F7688"/>
    <w:rsid w:val="00522527"/>
    <w:rsid w:val="0056485C"/>
    <w:rsid w:val="005741F3"/>
    <w:rsid w:val="0057511F"/>
    <w:rsid w:val="005E31B1"/>
    <w:rsid w:val="006200BA"/>
    <w:rsid w:val="006467D8"/>
    <w:rsid w:val="00653BF0"/>
    <w:rsid w:val="006A531B"/>
    <w:rsid w:val="006D0C45"/>
    <w:rsid w:val="006F7693"/>
    <w:rsid w:val="007026EE"/>
    <w:rsid w:val="007062EE"/>
    <w:rsid w:val="00710140"/>
    <w:rsid w:val="0071261C"/>
    <w:rsid w:val="00741DE4"/>
    <w:rsid w:val="007429A9"/>
    <w:rsid w:val="00745CAD"/>
    <w:rsid w:val="00770153"/>
    <w:rsid w:val="007C46E3"/>
    <w:rsid w:val="007D7C9D"/>
    <w:rsid w:val="007E3767"/>
    <w:rsid w:val="007E6D05"/>
    <w:rsid w:val="007F2275"/>
    <w:rsid w:val="008B39CA"/>
    <w:rsid w:val="00914BD6"/>
    <w:rsid w:val="00915F0F"/>
    <w:rsid w:val="009532DF"/>
    <w:rsid w:val="00954D39"/>
    <w:rsid w:val="00990F5D"/>
    <w:rsid w:val="00997019"/>
    <w:rsid w:val="009A5029"/>
    <w:rsid w:val="009D38D5"/>
    <w:rsid w:val="009E7DFE"/>
    <w:rsid w:val="009F3AF1"/>
    <w:rsid w:val="009F7295"/>
    <w:rsid w:val="00A03C71"/>
    <w:rsid w:val="00A53F26"/>
    <w:rsid w:val="00A64E9E"/>
    <w:rsid w:val="00AA0CC5"/>
    <w:rsid w:val="00AA1A3D"/>
    <w:rsid w:val="00AE54E0"/>
    <w:rsid w:val="00B14FA5"/>
    <w:rsid w:val="00B16AFE"/>
    <w:rsid w:val="00B63430"/>
    <w:rsid w:val="00B65DD5"/>
    <w:rsid w:val="00BD10B6"/>
    <w:rsid w:val="00C07076"/>
    <w:rsid w:val="00C178F6"/>
    <w:rsid w:val="00CA0E92"/>
    <w:rsid w:val="00CB00DF"/>
    <w:rsid w:val="00D73C72"/>
    <w:rsid w:val="00DC74BF"/>
    <w:rsid w:val="00E0592B"/>
    <w:rsid w:val="00E1042F"/>
    <w:rsid w:val="00E31738"/>
    <w:rsid w:val="00E86786"/>
    <w:rsid w:val="00ED2F80"/>
    <w:rsid w:val="00F1624E"/>
    <w:rsid w:val="00F16E22"/>
    <w:rsid w:val="00F27A75"/>
    <w:rsid w:val="00F32F8A"/>
    <w:rsid w:val="00F33222"/>
    <w:rsid w:val="00F6240C"/>
    <w:rsid w:val="00F62985"/>
    <w:rsid w:val="00F810AA"/>
    <w:rsid w:val="00FB43EC"/>
    <w:rsid w:val="00FB6B40"/>
    <w:rsid w:val="00FE6970"/>
    <w:rsid w:val="00FF30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7B55CB18"/>
  <w15:docId w15:val="{42C5D16D-B043-4240-A769-7E25E10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2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2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63430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954D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54D3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96C79-CA28-4516-8613-68E8E5287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11</cp:revision>
  <dcterms:created xsi:type="dcterms:W3CDTF">2019-06-11T03:04:00Z</dcterms:created>
  <dcterms:modified xsi:type="dcterms:W3CDTF">2020-06-05T01:44:00Z</dcterms:modified>
</cp:coreProperties>
</file>