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b/>
        </w:rPr>
      </w:pPr>
      <w:bookmarkStart w:id="1" w:name="_GoBack"/>
      <w:bookmarkEnd w:id="1"/>
      <w:r>
        <w:rPr>
          <w:b/>
        </w:rPr>
        <w:t>经营者集中简易案件公示表</w:t>
      </w:r>
    </w:p>
    <w:tbl>
      <w:tblPr>
        <w:tblStyle w:val="11"/>
        <w:tblW w:w="962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1845"/>
        <w:gridCol w:w="58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shd w:val="clear" w:color="auto" w:fill="D9D9D9"/>
            <w:vAlign w:val="center"/>
          </w:tcPr>
          <w:p>
            <w:pPr>
              <w:pStyle w:val="2"/>
              <w:rPr>
                <w:rFonts w:cs="Times New Roman"/>
                <w:lang w:val="en-GB" w:eastAsia="zh-CN"/>
              </w:rPr>
            </w:pPr>
            <w:r>
              <w:rPr>
                <w:rFonts w:cs="Times New Roman"/>
                <w:lang w:val="en-GB" w:eastAsia="zh-CN"/>
              </w:rPr>
              <w:t>案件名称</w:t>
            </w:r>
          </w:p>
        </w:tc>
        <w:tc>
          <w:tcPr>
            <w:tcW w:w="7740" w:type="dxa"/>
            <w:gridSpan w:val="2"/>
            <w:shd w:val="clear" w:color="auto" w:fill="auto"/>
          </w:tcPr>
          <w:p>
            <w:pPr>
              <w:snapToGrid w:val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阿拉福兹有限责任合作社与中国蒙牛乳业有限公司新设合营企业案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1885" w:type="dxa"/>
            <w:shd w:val="clear" w:color="auto" w:fill="D9D9D9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  <w:r>
              <w:rPr>
                <w:rFonts w:cs="Times New Roman"/>
                <w:lang w:val="en-GB" w:eastAsia="zh-CN"/>
              </w:rPr>
              <w:t>交易概况（限200字内）</w:t>
            </w:r>
          </w:p>
        </w:tc>
        <w:tc>
          <w:tcPr>
            <w:tcW w:w="7740" w:type="dxa"/>
            <w:gridSpan w:val="2"/>
            <w:shd w:val="clear" w:color="auto" w:fill="auto"/>
          </w:tcPr>
          <w:p>
            <w:pPr>
              <w:snapToGrid w:val="0"/>
              <w:rPr>
                <w:rFonts w:asciiTheme="majorBidi" w:hAnsiTheme="majorBidi" w:cstheme="majorBidi"/>
              </w:rPr>
            </w:pPr>
            <w:r>
              <w:rPr>
                <w:rFonts w:hint="eastAsia"/>
                <w:lang w:val="en-US"/>
              </w:rPr>
              <w:t>中国蒙牛乳业有限公司（“</w:t>
            </w:r>
            <w:r>
              <w:rPr>
                <w:rFonts w:hint="eastAsia"/>
                <w:b/>
                <w:bCs/>
                <w:lang w:val="en-US"/>
              </w:rPr>
              <w:t>蒙牛乳业</w:t>
            </w:r>
            <w:r>
              <w:rPr>
                <w:rFonts w:hint="eastAsia"/>
                <w:lang w:val="en-US"/>
              </w:rPr>
              <w:t>”）及其关联实体与阿拉福兹有限责任合作社（“</w:t>
            </w:r>
            <w:r>
              <w:rPr>
                <w:rFonts w:hint="eastAsia"/>
                <w:b/>
                <w:bCs/>
                <w:lang w:val="en-US"/>
              </w:rPr>
              <w:t>阿拉福兹</w:t>
            </w:r>
            <w:r>
              <w:rPr>
                <w:rFonts w:hint="eastAsia"/>
                <w:lang w:val="en-US"/>
              </w:rPr>
              <w:t>”，与蒙牛乳业合称“</w:t>
            </w:r>
            <w:r>
              <w:rPr>
                <w:rFonts w:hint="eastAsia"/>
                <w:b/>
                <w:bCs/>
                <w:lang w:val="en-US"/>
              </w:rPr>
              <w:t>交易双方</w:t>
            </w:r>
            <w:r>
              <w:rPr>
                <w:rFonts w:hint="eastAsia"/>
                <w:lang w:val="en-US"/>
              </w:rPr>
              <w:t>”）及其关联实体达成一揽子交易计划，包括（1）设立一家交易双方共同控制的合营企业，以及（2）合营企业在设立后收购内蒙古蒙牛奶酪有限责任公司的全部股权。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1885" w:type="dxa"/>
            <w:vMerge w:val="restart"/>
            <w:shd w:val="clear" w:color="auto" w:fill="D9D9D9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  <w:r>
              <w:rPr>
                <w:rFonts w:cs="Times New Roman"/>
                <w:lang w:val="en-GB" w:eastAsia="zh-CN"/>
              </w:rPr>
              <w:t>参与集中的经营者简介</w:t>
            </w:r>
          </w:p>
        </w:tc>
        <w:tc>
          <w:tcPr>
            <w:tcW w:w="1845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>
              <w:rPr>
                <w:rFonts w:hint="eastAsia"/>
                <w:lang w:val="en-US"/>
              </w:rPr>
              <w:t>阿拉福兹</w:t>
            </w:r>
          </w:p>
        </w:tc>
        <w:tc>
          <w:tcPr>
            <w:tcW w:w="5895" w:type="dxa"/>
            <w:shd w:val="clear" w:color="auto" w:fill="auto"/>
          </w:tcPr>
          <w:p>
            <w:pPr>
              <w:snapToGrid w:val="0"/>
              <w:rPr>
                <w:rFonts w:asciiTheme="majorBidi" w:hAnsiTheme="majorBidi" w:cstheme="majorBidi"/>
              </w:rPr>
            </w:pPr>
            <w:r>
              <w:rPr>
                <w:rFonts w:hint="eastAsia" w:asciiTheme="majorBidi" w:hAnsiTheme="majorBidi" w:cstheme="majorBidi"/>
              </w:rPr>
              <w:t>阿拉福兹是一家由来自丹麦、瑞士、 德国、卢森堡、比利时和英国的</w:t>
            </w:r>
            <w:bookmarkStart w:id="0" w:name="_Hlk40025268"/>
            <w:r>
              <w:rPr>
                <w:rFonts w:hint="eastAsia" w:asciiTheme="majorBidi" w:hAnsiTheme="majorBidi" w:cstheme="majorBidi"/>
              </w:rPr>
              <w:t>约</w:t>
            </w:r>
            <w:bookmarkEnd w:id="0"/>
            <w:r>
              <w:rPr>
                <w:rFonts w:asciiTheme="majorBidi" w:hAnsiTheme="majorBidi" w:cstheme="majorBidi"/>
              </w:rPr>
              <w:t>9,759</w:t>
            </w:r>
            <w:r>
              <w:rPr>
                <w:rFonts w:hint="eastAsia" w:asciiTheme="majorBidi" w:hAnsiTheme="majorBidi" w:cstheme="majorBidi"/>
              </w:rPr>
              <w:t>名农业工人共同经营和管理的乳品合作组织，也是全球历史最悠久的跨境乳品合作组织。阿拉福兹从事多种乳制品的生产与销售。</w:t>
            </w:r>
          </w:p>
          <w:p>
            <w:pPr>
              <w:snapToGrid w:val="0"/>
              <w:rPr>
                <w:rFonts w:asciiTheme="majorBidi" w:hAnsiTheme="majorBidi" w:cstheme="majorBidi"/>
              </w:rPr>
            </w:pPr>
            <w:r>
              <w:rPr>
                <w:rFonts w:hint="eastAsia" w:asciiTheme="majorBidi" w:hAnsiTheme="majorBidi" w:cstheme="majorBidi"/>
              </w:rPr>
              <w:t>阿拉福兹在中国主要销售原装进口的超高温灭菌奶（品牌名称：Arla爱氏晨曦）、奶酪（品牌名称：Castello）、黄油（品牌名称：Lurpak）和婴儿有机配方奶粉（品牌名称：Arla宝贝与我、美力滋）。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1885" w:type="dxa"/>
            <w:vMerge w:val="continue"/>
            <w:shd w:val="clear" w:color="auto" w:fill="D9D9D9"/>
          </w:tcPr>
          <w:p>
            <w:pPr>
              <w:pStyle w:val="2"/>
              <w:rPr>
                <w:rFonts w:cs="Times New Roman"/>
                <w:lang w:val="en-GB" w:eastAsia="zh-CN"/>
              </w:rPr>
            </w:pPr>
          </w:p>
        </w:tc>
        <w:tc>
          <w:tcPr>
            <w:tcW w:w="1845" w:type="dxa"/>
            <w:shd w:val="clear" w:color="auto" w:fill="auto"/>
          </w:tcPr>
          <w:p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</w:rPr>
            </w:pPr>
            <w:r>
              <w:rPr>
                <w:rFonts w:hint="eastAsia" w:asciiTheme="majorBidi" w:hAnsiTheme="majorBidi" w:cstheme="majorBidi"/>
              </w:rPr>
              <w:t>蒙牛乳业</w:t>
            </w:r>
          </w:p>
        </w:tc>
        <w:tc>
          <w:tcPr>
            <w:tcW w:w="5895" w:type="dxa"/>
            <w:shd w:val="clear" w:color="auto" w:fill="auto"/>
          </w:tcPr>
          <w:p>
            <w:pPr>
              <w:snapToGrid w:val="0"/>
              <w:rPr>
                <w:rFonts w:asciiTheme="majorBidi" w:hAnsiTheme="majorBidi" w:cstheme="majorBidi"/>
              </w:rPr>
            </w:pPr>
            <w:r>
              <w:rPr>
                <w:rFonts w:hint="eastAsia" w:asciiTheme="majorBidi" w:hAnsiTheme="majorBidi" w:cstheme="majorBidi"/>
              </w:rPr>
              <w:t>蒙牛乳业及其子公司主要于中国生产及销售乳制品，包括液态奶（如UHT奶、乳饮料及酸奶）、冰淇淋、奶粉和其他产品（包括植物蛋白饮品、奶酪）等。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85" w:type="dxa"/>
            <w:vMerge w:val="restart"/>
            <w:shd w:val="clear" w:color="auto" w:fill="D9D9D9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  <w:r>
              <w:rPr>
                <w:rFonts w:cs="Times New Roman"/>
                <w:lang w:val="en-GB" w:eastAsia="zh-CN"/>
              </w:rPr>
              <w:t>简易案件理由（可以单选，也可以多选）</w:t>
            </w:r>
          </w:p>
        </w:tc>
        <w:tc>
          <w:tcPr>
            <w:tcW w:w="7740" w:type="dxa"/>
            <w:gridSpan w:val="2"/>
            <w:shd w:val="clear" w:color="auto" w:fill="auto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  <w:r>
              <w:rPr>
                <w:rFonts w:ascii="Wingdings" w:hAnsi="Wingdings"/>
                <w:lang w:eastAsia="zh-CN"/>
              </w:rPr>
              <w:t></w:t>
            </w:r>
            <w:r>
              <w:rPr>
                <w:rFonts w:cs="Times New Roman"/>
                <w:lang w:val="en-GB" w:eastAsia="zh-CN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85" w:type="dxa"/>
            <w:vMerge w:val="continue"/>
            <w:shd w:val="clear" w:color="auto" w:fill="D9D9D9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  <w:r>
              <w:rPr>
                <w:rFonts w:ascii="Wingdings" w:hAnsi="Wingdings"/>
                <w:lang w:eastAsia="zh-CN"/>
              </w:rPr>
              <w:t></w:t>
            </w:r>
            <w:r>
              <w:rPr>
                <w:rFonts w:hint="eastAsia" w:cs="Times New Roman"/>
                <w:lang w:val="en-GB" w:eastAsia="zh-CN"/>
              </w:rPr>
              <w:t xml:space="preserve"> </w:t>
            </w:r>
            <w:r>
              <w:rPr>
                <w:rFonts w:cs="Times New Roman"/>
                <w:lang w:val="en-GB" w:eastAsia="zh-CN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85" w:type="dxa"/>
            <w:vMerge w:val="continue"/>
            <w:shd w:val="clear" w:color="auto" w:fill="D9D9D9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  <w:r>
              <w:rPr>
                <w:rFonts w:ascii="Wingdings" w:hAnsi="Wingdings"/>
                <w:lang w:eastAsia="zh-CN"/>
              </w:rPr>
              <w:sym w:font="Wingdings" w:char="F06F"/>
            </w:r>
            <w:r>
              <w:rPr>
                <w:rFonts w:cs="Times New Roman"/>
                <w:lang w:val="en-GB"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885" w:type="dxa"/>
            <w:vMerge w:val="continue"/>
            <w:shd w:val="clear" w:color="auto" w:fill="D9D9D9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  <w:r>
              <w:rPr>
                <w:rFonts w:ascii="Wingdings" w:hAnsi="Wingdings"/>
                <w:lang w:eastAsia="zh-CN"/>
              </w:rPr>
              <w:sym w:font="Wingdings" w:char="F06F"/>
            </w:r>
            <w:r>
              <w:rPr>
                <w:rFonts w:cs="Times New Roman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85" w:type="dxa"/>
            <w:vMerge w:val="continue"/>
            <w:shd w:val="clear" w:color="auto" w:fill="D9D9D9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  <w:r>
              <w:rPr>
                <w:rFonts w:ascii="Wingdings" w:hAnsi="Wingdings"/>
                <w:lang w:eastAsia="zh-CN"/>
              </w:rPr>
              <w:sym w:font="Wingdings" w:char="F06F"/>
            </w:r>
            <w:r>
              <w:rPr>
                <w:rFonts w:cs="Times New Roman"/>
                <w:lang w:val="en-GB"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85" w:type="dxa"/>
            <w:vMerge w:val="continue"/>
            <w:shd w:val="clear" w:color="auto" w:fill="D9D9D9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</w:p>
        </w:tc>
        <w:tc>
          <w:tcPr>
            <w:tcW w:w="7740" w:type="dxa"/>
            <w:gridSpan w:val="2"/>
            <w:shd w:val="clear" w:color="auto" w:fill="auto"/>
          </w:tcPr>
          <w:p>
            <w:pPr>
              <w:pStyle w:val="2"/>
              <w:rPr>
                <w:rFonts w:cs="Times New Roman"/>
                <w:lang w:val="en-US" w:eastAsia="zh-CN"/>
              </w:rPr>
            </w:pPr>
            <w:r>
              <w:rPr>
                <w:rFonts w:ascii="Wingdings" w:hAnsi="Wingdings"/>
                <w:lang w:eastAsia="zh-CN"/>
              </w:rPr>
              <w:sym w:font="Wingdings" w:char="F06F"/>
            </w:r>
            <w:r>
              <w:rPr>
                <w:rFonts w:cs="Times New Roman"/>
                <w:lang w:val="en-GB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5" w:type="dxa"/>
            <w:shd w:val="clear" w:color="auto" w:fill="D9D9D9"/>
          </w:tcPr>
          <w:p>
            <w:pPr>
              <w:pStyle w:val="2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GB"/>
              </w:rPr>
              <w:t>备注</w:t>
            </w:r>
          </w:p>
        </w:tc>
        <w:tc>
          <w:tcPr>
            <w:tcW w:w="7740" w:type="dxa"/>
            <w:gridSpan w:val="2"/>
            <w:shd w:val="clear" w:color="auto" w:fill="auto"/>
          </w:tcPr>
          <w:p>
            <w:r>
              <w:rPr>
                <w:rFonts w:hint="eastAsia" w:asciiTheme="majorBidi" w:hAnsiTheme="majorBidi" w:cstheme="majorBidi"/>
                <w:b/>
                <w:bCs/>
              </w:rPr>
              <w:t>相关产品市场：</w:t>
            </w:r>
            <w:r>
              <w:rPr>
                <w:rFonts w:hint="eastAsia"/>
                <w:lang w:val="en-US"/>
              </w:rPr>
              <w:t>天然奶酪、再制奶酪、</w:t>
            </w:r>
            <w:r>
              <w:rPr>
                <w:rFonts w:hint="eastAsia"/>
                <w:lang w:val="en-US" w:eastAsia="zh-CN"/>
              </w:rPr>
              <w:t>动物</w:t>
            </w:r>
            <w:r>
              <w:rPr>
                <w:rFonts w:hint="eastAsia"/>
                <w:lang w:val="en-US"/>
              </w:rPr>
              <w:t>黄油</w:t>
            </w:r>
          </w:p>
          <w:p>
            <w:pPr>
              <w:snapToGrid w:val="0"/>
              <w:rPr>
                <w:rFonts w:asciiTheme="majorBidi" w:hAnsiTheme="majorBidi" w:cstheme="majorBidi"/>
              </w:rPr>
            </w:pPr>
            <w:r>
              <w:rPr>
                <w:rFonts w:hint="eastAsia" w:asciiTheme="majorBidi" w:hAnsiTheme="majorBidi" w:cstheme="majorBidi"/>
                <w:b/>
                <w:bCs/>
              </w:rPr>
              <w:t>相关地域市场：</w:t>
            </w:r>
          </w:p>
          <w:p>
            <w:pPr>
              <w:pStyle w:val="21"/>
              <w:numPr>
                <w:ilvl w:val="0"/>
                <w:numId w:val="1"/>
              </w:numPr>
              <w:snapToGrid w:val="0"/>
              <w:rPr>
                <w:rFonts w:asciiTheme="majorBidi" w:hAnsiTheme="majorBidi" w:cstheme="majorBidi"/>
              </w:rPr>
            </w:pPr>
            <w:r>
              <w:rPr>
                <w:rFonts w:hint="eastAsia"/>
                <w:lang w:val="en-US"/>
              </w:rPr>
              <w:t>天然奶酪、再制奶酪</w:t>
            </w:r>
            <w:r>
              <w:rPr>
                <w:rFonts w:hint="eastAsia" w:asciiTheme="majorBidi" w:hAnsiTheme="majorBidi" w:cstheme="majorBidi"/>
              </w:rPr>
              <w:t>：全球市场</w:t>
            </w:r>
          </w:p>
          <w:p>
            <w:pPr>
              <w:pStyle w:val="21"/>
              <w:numPr>
                <w:ilvl w:val="0"/>
                <w:numId w:val="1"/>
              </w:numPr>
              <w:snapToGrid w:val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hint="eastAsia" w:asciiTheme="majorBidi" w:hAnsiTheme="majorBidi" w:cstheme="majorBidi"/>
                <w:lang w:eastAsia="zh-CN"/>
              </w:rPr>
              <w:t>动物</w:t>
            </w:r>
            <w:r>
              <w:rPr>
                <w:rFonts w:hint="eastAsia" w:asciiTheme="majorBidi" w:hAnsiTheme="majorBidi" w:cstheme="majorBidi"/>
              </w:rPr>
              <w:t>黄油：</w:t>
            </w:r>
            <w:r>
              <w:rPr>
                <w:rFonts w:hint="eastAsia" w:asciiTheme="majorBidi" w:hAnsiTheme="majorBidi" w:cstheme="majorBidi"/>
                <w:lang w:eastAsia="zh-CN"/>
              </w:rPr>
              <w:t>全球</w:t>
            </w:r>
            <w:r>
              <w:rPr>
                <w:rFonts w:hint="eastAsia" w:asciiTheme="majorBidi" w:hAnsiTheme="majorBidi" w:cstheme="majorBidi"/>
              </w:rPr>
              <w:t>市场</w:t>
            </w:r>
          </w:p>
          <w:p>
            <w:pPr>
              <w:snapToGrid w:val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hint="eastAsia" w:asciiTheme="majorBidi" w:hAnsiTheme="majorBidi" w:cstheme="majorBidi"/>
                <w:b/>
                <w:bCs/>
              </w:rPr>
              <w:t>市场份额：</w:t>
            </w:r>
          </w:p>
          <w:p>
            <w:pPr>
              <w:pStyle w:val="21"/>
              <w:numPr>
                <w:ilvl w:val="0"/>
                <w:numId w:val="2"/>
              </w:numPr>
              <w:snapToGrid w:val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hint="eastAsia" w:asciiTheme="majorBidi" w:hAnsiTheme="majorBidi" w:cstheme="majorBidi"/>
                <w:b/>
                <w:bCs/>
              </w:rPr>
              <w:t>全球天然奶酪市场</w:t>
            </w:r>
          </w:p>
          <w:p>
            <w:pPr>
              <w:pStyle w:val="21"/>
              <w:snapToGrid w:val="0"/>
              <w:rPr>
                <w:rFonts w:asciiTheme="majorBidi" w:hAnsiTheme="majorBidi" w:cstheme="majorBidi"/>
                <w:b/>
                <w:bCs/>
              </w:rPr>
            </w:pPr>
          </w:p>
          <w:p>
            <w:pPr>
              <w:pStyle w:val="21"/>
              <w:snapToGrid w:val="0"/>
              <w:rPr>
                <w:rFonts w:asciiTheme="majorBidi" w:hAnsiTheme="majorBidi" w:cstheme="majorBidi"/>
              </w:rPr>
            </w:pPr>
            <w:r>
              <w:rPr>
                <w:rFonts w:hint="eastAsia" w:asciiTheme="majorBidi" w:hAnsiTheme="majorBidi" w:cstheme="majorBidi"/>
              </w:rPr>
              <w:t>交易双方：[0-5</w:t>
            </w:r>
            <w:r>
              <w:rPr>
                <w:rFonts w:asciiTheme="majorBidi" w:hAnsiTheme="majorBidi" w:cstheme="majorBidi"/>
              </w:rPr>
              <w:t>]</w:t>
            </w:r>
            <w:r>
              <w:rPr>
                <w:rFonts w:hint="eastAsia" w:asciiTheme="majorBidi" w:hAnsiTheme="majorBidi" w:cstheme="majorBidi"/>
              </w:rPr>
              <w:t>%</w:t>
            </w:r>
          </w:p>
          <w:p>
            <w:pPr>
              <w:pStyle w:val="21"/>
              <w:snapToGrid w:val="0"/>
              <w:rPr>
                <w:rFonts w:asciiTheme="majorBidi" w:hAnsiTheme="majorBidi" w:cstheme="majorBidi"/>
              </w:rPr>
            </w:pPr>
          </w:p>
          <w:p>
            <w:pPr>
              <w:pStyle w:val="21"/>
              <w:numPr>
                <w:ilvl w:val="0"/>
                <w:numId w:val="2"/>
              </w:numPr>
              <w:snapToGrid w:val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hint="eastAsia" w:asciiTheme="majorBidi" w:hAnsiTheme="majorBidi" w:cstheme="majorBidi"/>
                <w:b/>
                <w:bCs/>
              </w:rPr>
              <w:t>全球再制奶酪市场</w:t>
            </w:r>
          </w:p>
          <w:p>
            <w:pPr>
              <w:pStyle w:val="21"/>
              <w:snapToGrid w:val="0"/>
              <w:rPr>
                <w:rFonts w:asciiTheme="majorBidi" w:hAnsiTheme="majorBidi" w:cstheme="majorBidi"/>
                <w:b/>
                <w:bCs/>
              </w:rPr>
            </w:pPr>
          </w:p>
          <w:p>
            <w:pPr>
              <w:pStyle w:val="21"/>
              <w:snapToGrid w:val="0"/>
              <w:rPr>
                <w:rFonts w:asciiTheme="majorBidi" w:hAnsiTheme="majorBidi" w:cstheme="majorBidi"/>
              </w:rPr>
            </w:pPr>
            <w:r>
              <w:rPr>
                <w:rFonts w:hint="eastAsia" w:asciiTheme="majorBidi" w:hAnsiTheme="majorBidi" w:cstheme="majorBidi"/>
              </w:rPr>
              <w:t>交易双方：[0-5</w:t>
            </w:r>
            <w:r>
              <w:rPr>
                <w:rFonts w:asciiTheme="majorBidi" w:hAnsiTheme="majorBidi" w:cstheme="majorBidi"/>
              </w:rPr>
              <w:t>]</w:t>
            </w:r>
            <w:r>
              <w:rPr>
                <w:rFonts w:hint="eastAsia" w:asciiTheme="majorBidi" w:hAnsiTheme="majorBidi" w:cstheme="majorBidi"/>
              </w:rPr>
              <w:t>%</w:t>
            </w:r>
          </w:p>
          <w:p>
            <w:pPr>
              <w:pStyle w:val="21"/>
              <w:snapToGrid w:val="0"/>
              <w:rPr>
                <w:rFonts w:asciiTheme="majorBidi" w:hAnsiTheme="majorBidi" w:cstheme="majorBidi"/>
              </w:rPr>
            </w:pPr>
          </w:p>
          <w:p>
            <w:pPr>
              <w:pStyle w:val="21"/>
              <w:numPr>
                <w:ilvl w:val="0"/>
                <w:numId w:val="2"/>
              </w:numPr>
              <w:snapToGrid w:val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hint="eastAsia" w:asciiTheme="majorBidi" w:hAnsiTheme="majorBidi" w:cstheme="majorBidi"/>
                <w:b/>
                <w:bCs/>
                <w:lang w:eastAsia="zh-CN"/>
              </w:rPr>
              <w:t>全球动物</w:t>
            </w:r>
            <w:r>
              <w:rPr>
                <w:rFonts w:hint="eastAsia" w:asciiTheme="majorBidi" w:hAnsiTheme="majorBidi" w:cstheme="majorBidi"/>
                <w:b/>
                <w:bCs/>
              </w:rPr>
              <w:t>黄油市场</w:t>
            </w:r>
          </w:p>
          <w:p>
            <w:pPr>
              <w:pStyle w:val="21"/>
              <w:snapToGrid w:val="0"/>
              <w:rPr>
                <w:rFonts w:asciiTheme="majorBidi" w:hAnsiTheme="majorBidi" w:cstheme="majorBidi"/>
              </w:rPr>
            </w:pPr>
          </w:p>
          <w:p>
            <w:pPr>
              <w:pStyle w:val="21"/>
              <w:snapToGrid w:val="0"/>
              <w:rPr>
                <w:rFonts w:asciiTheme="majorBidi" w:hAnsiTheme="majorBidi" w:cstheme="majorBidi"/>
              </w:rPr>
            </w:pPr>
            <w:r>
              <w:rPr>
                <w:rFonts w:hint="eastAsia" w:asciiTheme="majorBidi" w:hAnsiTheme="majorBidi" w:cstheme="majorBidi"/>
              </w:rPr>
              <w:t>交易双方：[0-5</w:t>
            </w:r>
            <w:r>
              <w:rPr>
                <w:rFonts w:asciiTheme="majorBidi" w:hAnsiTheme="majorBidi" w:cstheme="majorBidi"/>
              </w:rPr>
              <w:t>]</w:t>
            </w:r>
            <w:r>
              <w:rPr>
                <w:rFonts w:hint="eastAsia" w:asciiTheme="majorBidi" w:hAnsiTheme="majorBidi" w:cstheme="majorBidi"/>
              </w:rPr>
              <w:t>%</w:t>
            </w:r>
          </w:p>
        </w:tc>
      </w:tr>
    </w:tbl>
    <w:p>
      <w:pPr>
        <w:rPr>
          <w:sz w:val="22"/>
          <w:szCs w:val="22"/>
          <w:lang w:val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98130815"/>
      <w:docPartObj>
        <w:docPartGallery w:val="autotext"/>
      </w:docPartObj>
    </w:sdtPr>
    <w:sdtEndPr>
      <w:rPr>
        <w:sz w:val="22"/>
      </w:rPr>
    </w:sdtEndPr>
    <w:sdtContent>
      <w:p>
        <w:pPr>
          <w:pStyle w:val="4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 xml:space="preserve"> PAGE   \* MERGEFORMAT </w:instrText>
        </w:r>
        <w:r>
          <w:rPr>
            <w:sz w:val="22"/>
          </w:rPr>
          <w:fldChar w:fldCharType="separate"/>
        </w:r>
        <w:r>
          <w:rPr>
            <w:sz w:val="22"/>
          </w:rPr>
          <w:t>2</w:t>
        </w:r>
        <w:r>
          <w:rPr>
            <w:sz w:val="22"/>
          </w:rPr>
          <w:fldChar w:fldCharType="end"/>
        </w:r>
      </w:p>
    </w:sdtContent>
  </w:sdt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35577"/>
    <w:multiLevelType w:val="multilevel"/>
    <w:tmpl w:val="0D03557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F311B7"/>
    <w:multiLevelType w:val="multilevel"/>
    <w:tmpl w:val="73F311B7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oNotTrackMoves/>
  <w:doNotTrackFormatting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E0B"/>
    <w:rsid w:val="0005110A"/>
    <w:rsid w:val="0008652E"/>
    <w:rsid w:val="00115A26"/>
    <w:rsid w:val="001620F1"/>
    <w:rsid w:val="0016777C"/>
    <w:rsid w:val="00180F3A"/>
    <w:rsid w:val="001E0935"/>
    <w:rsid w:val="001E7764"/>
    <w:rsid w:val="00203C50"/>
    <w:rsid w:val="002337A3"/>
    <w:rsid w:val="0024351F"/>
    <w:rsid w:val="00251CAC"/>
    <w:rsid w:val="00277DBB"/>
    <w:rsid w:val="002A1281"/>
    <w:rsid w:val="002B00DF"/>
    <w:rsid w:val="002F1946"/>
    <w:rsid w:val="00346D4D"/>
    <w:rsid w:val="00352AEF"/>
    <w:rsid w:val="003649CB"/>
    <w:rsid w:val="003770B9"/>
    <w:rsid w:val="003926B2"/>
    <w:rsid w:val="003A28B1"/>
    <w:rsid w:val="003E5C95"/>
    <w:rsid w:val="0041446C"/>
    <w:rsid w:val="00415F9D"/>
    <w:rsid w:val="00452FF0"/>
    <w:rsid w:val="00453E4F"/>
    <w:rsid w:val="004702F2"/>
    <w:rsid w:val="0047593C"/>
    <w:rsid w:val="004871BD"/>
    <w:rsid w:val="00497BC1"/>
    <w:rsid w:val="004C0F78"/>
    <w:rsid w:val="004E5A46"/>
    <w:rsid w:val="004F0041"/>
    <w:rsid w:val="004F26EC"/>
    <w:rsid w:val="00550B2F"/>
    <w:rsid w:val="00584C98"/>
    <w:rsid w:val="00632655"/>
    <w:rsid w:val="0064168F"/>
    <w:rsid w:val="006450E1"/>
    <w:rsid w:val="006632D7"/>
    <w:rsid w:val="00663B12"/>
    <w:rsid w:val="00667F29"/>
    <w:rsid w:val="006A2FCA"/>
    <w:rsid w:val="006D5A9E"/>
    <w:rsid w:val="006F3A0C"/>
    <w:rsid w:val="00705E85"/>
    <w:rsid w:val="00721041"/>
    <w:rsid w:val="00731D57"/>
    <w:rsid w:val="007472FC"/>
    <w:rsid w:val="007535D1"/>
    <w:rsid w:val="00764DB0"/>
    <w:rsid w:val="0079009C"/>
    <w:rsid w:val="007A286A"/>
    <w:rsid w:val="007A47AA"/>
    <w:rsid w:val="007C02B2"/>
    <w:rsid w:val="007F277B"/>
    <w:rsid w:val="008436B7"/>
    <w:rsid w:val="00843C10"/>
    <w:rsid w:val="00852A85"/>
    <w:rsid w:val="008562CE"/>
    <w:rsid w:val="008656E0"/>
    <w:rsid w:val="008756E2"/>
    <w:rsid w:val="008A3B57"/>
    <w:rsid w:val="009004F6"/>
    <w:rsid w:val="00900D96"/>
    <w:rsid w:val="0090298D"/>
    <w:rsid w:val="00944E3F"/>
    <w:rsid w:val="00950430"/>
    <w:rsid w:val="0095415B"/>
    <w:rsid w:val="00955B7B"/>
    <w:rsid w:val="00956A76"/>
    <w:rsid w:val="00966276"/>
    <w:rsid w:val="0099230E"/>
    <w:rsid w:val="00993527"/>
    <w:rsid w:val="00995EAB"/>
    <w:rsid w:val="009D60C7"/>
    <w:rsid w:val="00A67BDD"/>
    <w:rsid w:val="00A766C7"/>
    <w:rsid w:val="00AD76CC"/>
    <w:rsid w:val="00AE00C4"/>
    <w:rsid w:val="00B15B57"/>
    <w:rsid w:val="00B7442B"/>
    <w:rsid w:val="00B80E6D"/>
    <w:rsid w:val="00B851A0"/>
    <w:rsid w:val="00BC063A"/>
    <w:rsid w:val="00BC6281"/>
    <w:rsid w:val="00BD64F3"/>
    <w:rsid w:val="00BF6B18"/>
    <w:rsid w:val="00C61568"/>
    <w:rsid w:val="00C855C4"/>
    <w:rsid w:val="00CB779C"/>
    <w:rsid w:val="00CD73F7"/>
    <w:rsid w:val="00D00BC8"/>
    <w:rsid w:val="00D211F6"/>
    <w:rsid w:val="00D458E2"/>
    <w:rsid w:val="00D762FD"/>
    <w:rsid w:val="00D91095"/>
    <w:rsid w:val="00D92E0B"/>
    <w:rsid w:val="00DC05CD"/>
    <w:rsid w:val="00DD214F"/>
    <w:rsid w:val="00DE21ED"/>
    <w:rsid w:val="00E23939"/>
    <w:rsid w:val="00E2583F"/>
    <w:rsid w:val="00E430EF"/>
    <w:rsid w:val="00E44950"/>
    <w:rsid w:val="00E70FDD"/>
    <w:rsid w:val="00E7594E"/>
    <w:rsid w:val="00E920D3"/>
    <w:rsid w:val="00E94D11"/>
    <w:rsid w:val="00ED7F7D"/>
    <w:rsid w:val="00F25960"/>
    <w:rsid w:val="00F36519"/>
    <w:rsid w:val="00F4045F"/>
    <w:rsid w:val="00F877CB"/>
    <w:rsid w:val="00F87A63"/>
    <w:rsid w:val="00FA3153"/>
    <w:rsid w:val="00FC7EB3"/>
    <w:rsid w:val="00FD21DC"/>
    <w:rsid w:val="00FE02EC"/>
    <w:rsid w:val="00FE6DB0"/>
    <w:rsid w:val="322E5EFF"/>
    <w:rsid w:val="3C1539A4"/>
    <w:rsid w:val="3D843BF5"/>
    <w:rsid w:val="4BEC66DD"/>
    <w:rsid w:val="5D701672"/>
    <w:rsid w:val="703C0FBD"/>
    <w:rsid w:val="7BDE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240" w:lineRule="auto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character" w:default="1" w:styleId="7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5"/>
    <w:qFormat/>
    <w:uiPriority w:val="0"/>
    <w:rPr>
      <w:rFonts w:cs="Simplified Arabic"/>
      <w:lang w:val="zh-CN" w:eastAsia="en-GB"/>
    </w:rPr>
  </w:style>
  <w:style w:type="paragraph" w:styleId="3">
    <w:name w:val="Balloon Text"/>
    <w:basedOn w:val="1"/>
    <w:link w:val="22"/>
    <w:semiHidden/>
    <w:unhideWhenUsed/>
    <w:qFormat/>
    <w:uiPriority w:val="99"/>
    <w:pPr>
      <w:spacing w:after="0"/>
    </w:pPr>
    <w:rPr>
      <w:rFonts w:ascii="Segoe UI" w:hAnsi="Segoe UI" w:cs="Segoe UI"/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paragraph" w:styleId="5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pacing w:after="0"/>
      <w:jc w:val="left"/>
    </w:pPr>
    <w:rPr>
      <w:rFonts w:asciiTheme="minorHAnsi" w:hAnsiTheme="minorHAnsi" w:eastAsiaTheme="minorEastAsia" w:cstheme="minorBidi"/>
      <w:sz w:val="22"/>
      <w:szCs w:val="22"/>
      <w:lang w:bidi="ar-SA"/>
    </w:rPr>
  </w:style>
  <w:style w:type="paragraph" w:styleId="6">
    <w:name w:val="footnote text"/>
    <w:basedOn w:val="1"/>
    <w:link w:val="19"/>
    <w:qFormat/>
    <w:uiPriority w:val="99"/>
    <w:pPr>
      <w:widowControl w:val="0"/>
      <w:snapToGrid w:val="0"/>
      <w:spacing w:after="0"/>
      <w:jc w:val="left"/>
    </w:pPr>
    <w:rPr>
      <w:rFonts w:ascii="Calibri" w:hAnsi="Calibri"/>
      <w:kern w:val="2"/>
      <w:sz w:val="18"/>
      <w:szCs w:val="18"/>
      <w:lang w:val="en-US" w:bidi="ar-SA"/>
    </w:rPr>
  </w:style>
  <w:style w:type="character" w:styleId="8">
    <w:name w:val="page number"/>
    <w:basedOn w:val="7"/>
    <w:semiHidden/>
    <w:unhideWhenUsed/>
    <w:qFormat/>
    <w:uiPriority w:val="99"/>
    <w:rPr>
      <w:rFonts w:ascii="Times New Roman" w:hAnsi="Times New Roman" w:cs="Times New Roman"/>
      <w:sz w:val="24"/>
    </w:rPr>
  </w:style>
  <w:style w:type="character" w:styleId="9">
    <w:name w:val="Hyperlink"/>
    <w:qFormat/>
    <w:uiPriority w:val="99"/>
    <w:rPr>
      <w:color w:val="0000FF"/>
      <w:u w:val="single"/>
    </w:rPr>
  </w:style>
  <w:style w:type="character" w:styleId="10">
    <w:name w:val="footnote reference"/>
    <w:basedOn w:val="7"/>
    <w:qFormat/>
    <w:uiPriority w:val="0"/>
    <w:rPr>
      <w:vertAlign w:val="superscript"/>
    </w:rPr>
  </w:style>
  <w:style w:type="table" w:styleId="12">
    <w:name w:val="Table Grid"/>
    <w:basedOn w:val="11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3">
    <w:name w:val="Header Char"/>
    <w:basedOn w:val="7"/>
    <w:link w:val="5"/>
    <w:qFormat/>
    <w:uiPriority w:val="99"/>
  </w:style>
  <w:style w:type="character" w:customStyle="1" w:styleId="14">
    <w:name w:val="Footer Char"/>
    <w:basedOn w:val="7"/>
    <w:link w:val="4"/>
    <w:qFormat/>
    <w:uiPriority w:val="99"/>
    <w:rPr>
      <w:rFonts w:ascii="Times New Roman" w:hAnsi="Times New Roman" w:cs="Times New Roman"/>
      <w:sz w:val="16"/>
    </w:rPr>
  </w:style>
  <w:style w:type="character" w:customStyle="1" w:styleId="15">
    <w:name w:val="Body Text Char"/>
    <w:basedOn w:val="7"/>
    <w:link w:val="2"/>
    <w:qFormat/>
    <w:uiPriority w:val="0"/>
    <w:rPr>
      <w:rFonts w:ascii="Times New Roman" w:hAnsi="Times New Roman" w:eastAsia="宋体" w:cs="Simplified Arabic"/>
      <w:sz w:val="24"/>
      <w:szCs w:val="24"/>
      <w:lang w:val="zh-CN" w:eastAsia="en-GB" w:bidi="ar-AE"/>
    </w:rPr>
  </w:style>
  <w:style w:type="paragraph" w:customStyle="1" w:styleId="16">
    <w:name w:val="Footer Right"/>
    <w:basedOn w:val="4"/>
    <w:link w:val="17"/>
    <w:qFormat/>
    <w:uiPriority w:val="0"/>
    <w:pPr>
      <w:spacing w:line="440" w:lineRule="exact"/>
      <w:jc w:val="right"/>
    </w:pPr>
    <w:rPr>
      <w:szCs w:val="28"/>
    </w:rPr>
  </w:style>
  <w:style w:type="character" w:customStyle="1" w:styleId="17">
    <w:name w:val="Footer Right Char"/>
    <w:basedOn w:val="7"/>
    <w:link w:val="16"/>
    <w:qFormat/>
    <w:uiPriority w:val="0"/>
    <w:rPr>
      <w:rFonts w:ascii="Times New Roman" w:hAnsi="Times New Roman" w:cs="Times New Roman"/>
      <w:sz w:val="16"/>
      <w:szCs w:val="28"/>
    </w:rPr>
  </w:style>
  <w:style w:type="character" w:customStyle="1" w:styleId="18">
    <w:name w:val="Unresolved Mention"/>
    <w:basedOn w:val="7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19">
    <w:name w:val="Footnote Text Char"/>
    <w:basedOn w:val="7"/>
    <w:link w:val="6"/>
    <w:qFormat/>
    <w:uiPriority w:val="99"/>
    <w:rPr>
      <w:rFonts w:ascii="Calibri" w:hAnsi="Calibri" w:eastAsia="宋体" w:cs="Times New Roman"/>
      <w:kern w:val="2"/>
      <w:sz w:val="18"/>
      <w:szCs w:val="18"/>
      <w:lang w:val="en-US"/>
    </w:rPr>
  </w:style>
  <w:style w:type="character" w:customStyle="1" w:styleId="20">
    <w:name w:val="text-dst"/>
    <w:basedOn w:val="7"/>
    <w:uiPriority w:val="0"/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Balloon Text Char"/>
    <w:basedOn w:val="7"/>
    <w:link w:val="3"/>
    <w:semiHidden/>
    <w:qFormat/>
    <w:uiPriority w:val="99"/>
    <w:rPr>
      <w:rFonts w:ascii="Segoe UI" w:hAnsi="Segoe UI" w:eastAsia="宋体" w:cs="Segoe UI"/>
      <w:sz w:val="18"/>
      <w:szCs w:val="18"/>
      <w:lang w:bidi="ar-A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</Words>
  <Characters>773</Characters>
  <Lines>6</Lines>
  <Paragraphs>1</Paragraphs>
  <TotalTime>45</TotalTime>
  <ScaleCrop>false</ScaleCrop>
  <LinksUpToDate>false</LinksUpToDate>
  <CharactersWithSpaces>907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2020-05-10T09:55:00Z</dcterms:created>
  <dc:creator>chenmei</dc:creator>
  <cp:lastModifiedBy>陈媚</cp:lastModifiedBy>
  <dcterms:modified xsi:type="dcterms:W3CDTF">2020-06-30T06:06:42Z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