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35D76D7E" w14:textId="77777777" w:rsidR="00CB00DF" w:rsidRPr="007B5472" w:rsidRDefault="00CB00DF" w:rsidP="00CB00DF">
      <w:pPr>
        <w:snapToGrid w:val="0"/>
        <w:spacing w:before="100" w:beforeAutospacing="1" w:after="100" w:afterAutospacing="1"/>
        <w:jc w:val="left"/>
        <w:rPr>
          <w:rFonts w:ascii="Times New Roman" w:hAnsi="Times New Roman"/>
          <w:b/>
          <w:color w:val="000000" w:themeColor="text1"/>
          <w:szCs w:val="21"/>
        </w:rPr>
      </w:pPr>
      <w:bookmarkStart w:id="0" w:name="_GoBack"/>
      <w:bookmarkEnd w:id="0"/>
      <w:r w:rsidRPr="007B5472">
        <w:rPr>
          <w:rFonts w:ascii="Times New Roman" w:hAnsi="Times New Roman" w:hint="eastAsia"/>
          <w:b/>
          <w:color w:val="000000" w:themeColor="text1"/>
          <w:szCs w:val="21"/>
        </w:rPr>
        <w:t>附件</w:t>
      </w:r>
      <w:r w:rsidRPr="007B5472">
        <w:rPr>
          <w:rFonts w:ascii="Times New Roman" w:hAnsi="Times New Roman" w:hint="eastAsia"/>
          <w:b/>
          <w:color w:val="000000" w:themeColor="text1"/>
          <w:szCs w:val="21"/>
        </w:rPr>
        <w:t>2</w:t>
      </w:r>
    </w:p>
    <w:p w14:paraId="2490445B" w14:textId="77777777" w:rsidR="00CB00DF" w:rsidRPr="007B5472" w:rsidRDefault="00CB00DF" w:rsidP="00CB00DF">
      <w:pPr>
        <w:spacing w:line="440" w:lineRule="exact"/>
        <w:jc w:val="center"/>
        <w:rPr>
          <w:rFonts w:ascii="黑体" w:eastAsia="黑体" w:hAnsi="Times New Roman"/>
          <w:color w:val="000000" w:themeColor="text1"/>
          <w:sz w:val="30"/>
          <w:szCs w:val="30"/>
        </w:rPr>
      </w:pPr>
      <w:r w:rsidRPr="007B5472">
        <w:rPr>
          <w:rFonts w:ascii="黑体" w:eastAsia="黑体" w:hAnsi="Times New Roman" w:hint="eastAsia"/>
          <w:color w:val="000000" w:themeColor="text1"/>
          <w:sz w:val="30"/>
          <w:szCs w:val="30"/>
        </w:rPr>
        <w:t>经营者集中简易案件公示表</w:t>
      </w:r>
    </w:p>
    <w:p w14:paraId="4D9B18C5" w14:textId="77777777" w:rsidR="00CB00DF" w:rsidRPr="007B5472" w:rsidRDefault="00CB00DF" w:rsidP="00CB00DF">
      <w:pPr>
        <w:spacing w:line="440" w:lineRule="exact"/>
        <w:rPr>
          <w:rFonts w:ascii="黑体" w:eastAsia="黑体" w:hAnsi="Times New Roman"/>
          <w:color w:val="000000" w:themeColor="text1"/>
          <w:sz w:val="28"/>
          <w:szCs w:val="28"/>
        </w:rPr>
      </w:pPr>
    </w:p>
    <w:p w14:paraId="521222DE" w14:textId="77777777" w:rsidR="00CB00DF" w:rsidRPr="007B5472" w:rsidRDefault="00CB00DF" w:rsidP="00CB00DF">
      <w:pPr>
        <w:spacing w:line="440" w:lineRule="exact"/>
        <w:ind w:firstLineChars="302" w:firstLine="846"/>
        <w:rPr>
          <w:rFonts w:ascii="仿宋_GB2312" w:eastAsia="仿宋_GB2312" w:hAnsi="Times New Roman"/>
          <w:color w:val="000000" w:themeColor="text1"/>
          <w:sz w:val="28"/>
          <w:szCs w:val="28"/>
        </w:rPr>
      </w:pPr>
    </w:p>
    <w:tbl>
      <w:tblPr>
        <w:tblW w:w="875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09"/>
        <w:gridCol w:w="1796"/>
        <w:gridCol w:w="5153"/>
      </w:tblGrid>
      <w:tr w:rsidR="007B5472" w:rsidRPr="007B5472" w14:paraId="3624DFA8" w14:textId="77777777" w:rsidTr="00CB00DF">
        <w:tc>
          <w:tcPr>
            <w:tcW w:w="1809" w:type="dxa"/>
            <w:shd w:val="clear" w:color="auto" w:fill="D9D9D9"/>
            <w:vAlign w:val="center"/>
          </w:tcPr>
          <w:p w14:paraId="1CD08EAB" w14:textId="77777777" w:rsidR="00CB00DF" w:rsidRPr="007B5472" w:rsidRDefault="00CB00DF" w:rsidP="00CB00DF">
            <w:pPr>
              <w:spacing w:line="500" w:lineRule="exact"/>
              <w:jc w:val="center"/>
              <w:rPr>
                <w:rFonts w:ascii="仿宋" w:eastAsia="仿宋" w:hAnsi="仿宋" w:cs="宋体"/>
                <w:color w:val="000000" w:themeColor="text1"/>
                <w:kern w:val="0"/>
                <w:sz w:val="24"/>
                <w:szCs w:val="24"/>
                <w:bdr w:val="none" w:sz="0" w:space="0" w:color="auto" w:frame="1"/>
              </w:rPr>
            </w:pPr>
            <w:r w:rsidRPr="007B5472">
              <w:rPr>
                <w:rFonts w:ascii="仿宋" w:eastAsia="仿宋" w:hAnsi="仿宋" w:cs="宋体" w:hint="eastAsia"/>
                <w:color w:val="000000" w:themeColor="text1"/>
                <w:kern w:val="0"/>
                <w:sz w:val="24"/>
                <w:szCs w:val="24"/>
                <w:bdr w:val="none" w:sz="0" w:space="0" w:color="auto" w:frame="1"/>
              </w:rPr>
              <w:t>案件名称</w:t>
            </w:r>
          </w:p>
        </w:tc>
        <w:tc>
          <w:tcPr>
            <w:tcW w:w="6949" w:type="dxa"/>
            <w:gridSpan w:val="2"/>
          </w:tcPr>
          <w:p w14:paraId="07FDFECE" w14:textId="77777777" w:rsidR="00CB00DF" w:rsidRPr="007B5472" w:rsidRDefault="003A0DD2" w:rsidP="006124C6">
            <w:pPr>
              <w:spacing w:line="500" w:lineRule="exact"/>
              <w:rPr>
                <w:rFonts w:ascii="仿宋" w:eastAsia="仿宋" w:hAnsi="仿宋" w:cs="宋体"/>
                <w:color w:val="000000" w:themeColor="text1"/>
                <w:kern w:val="0"/>
                <w:sz w:val="24"/>
                <w:szCs w:val="24"/>
                <w:bdr w:val="none" w:sz="0" w:space="0" w:color="auto" w:frame="1"/>
              </w:rPr>
            </w:pPr>
            <w:r w:rsidRPr="007B5472">
              <w:rPr>
                <w:rFonts w:ascii="仿宋" w:eastAsia="仿宋" w:hAnsi="仿宋" w:cs="宋体" w:hint="eastAsia"/>
                <w:color w:val="000000" w:themeColor="text1"/>
                <w:kern w:val="0"/>
                <w:sz w:val="24"/>
                <w:szCs w:val="24"/>
                <w:bdr w:val="none" w:sz="0" w:space="0" w:color="auto" w:frame="1"/>
              </w:rPr>
              <w:t xml:space="preserve">   </w:t>
            </w:r>
            <w:r w:rsidR="006124C6" w:rsidRPr="007B5472">
              <w:rPr>
                <w:rFonts w:ascii="仿宋" w:eastAsia="仿宋" w:hAnsi="仿宋" w:cs="宋体" w:hint="eastAsia"/>
                <w:color w:val="000000" w:themeColor="text1"/>
                <w:kern w:val="0"/>
                <w:sz w:val="24"/>
                <w:szCs w:val="24"/>
                <w:bdr w:val="none" w:sz="0" w:space="0" w:color="auto" w:frame="1"/>
              </w:rPr>
              <w:t>中车青岛四方机车车辆股份有限公司、</w:t>
            </w:r>
            <w:r w:rsidR="006124C6" w:rsidRPr="007B5472">
              <w:rPr>
                <w:rFonts w:ascii="仿宋" w:eastAsia="仿宋" w:hAnsi="仿宋" w:cs="宋体" w:hint="eastAsia"/>
                <w:bCs/>
                <w:color w:val="000000" w:themeColor="text1"/>
                <w:kern w:val="0"/>
                <w:sz w:val="24"/>
                <w:szCs w:val="24"/>
                <w:bdr w:val="none" w:sz="0" w:space="0" w:color="auto" w:frame="1"/>
              </w:rPr>
              <w:t>成都轨道产业投资有限公司、中车长春轨道客车股份有限公司新设合营企业案</w:t>
            </w:r>
          </w:p>
        </w:tc>
      </w:tr>
      <w:tr w:rsidR="007B5472" w:rsidRPr="007B5472" w14:paraId="63038A2C" w14:textId="77777777" w:rsidTr="00CB00DF">
        <w:trPr>
          <w:trHeight w:val="993"/>
        </w:trPr>
        <w:tc>
          <w:tcPr>
            <w:tcW w:w="1809" w:type="dxa"/>
            <w:shd w:val="clear" w:color="auto" w:fill="D9D9D9"/>
            <w:vAlign w:val="center"/>
          </w:tcPr>
          <w:p w14:paraId="3FA4FA10" w14:textId="77777777" w:rsidR="00F1624E" w:rsidRPr="007B5472" w:rsidRDefault="00CB00DF" w:rsidP="00CB00DF">
            <w:pPr>
              <w:spacing w:line="500" w:lineRule="exact"/>
              <w:jc w:val="center"/>
              <w:rPr>
                <w:rFonts w:ascii="仿宋" w:eastAsia="仿宋" w:hAnsi="仿宋" w:cs="宋体"/>
                <w:color w:val="000000" w:themeColor="text1"/>
                <w:kern w:val="0"/>
                <w:sz w:val="24"/>
                <w:szCs w:val="24"/>
                <w:bdr w:val="none" w:sz="0" w:space="0" w:color="auto" w:frame="1"/>
              </w:rPr>
            </w:pPr>
            <w:r w:rsidRPr="007B5472">
              <w:rPr>
                <w:rFonts w:ascii="仿宋" w:eastAsia="仿宋" w:hAnsi="仿宋" w:cs="宋体" w:hint="eastAsia"/>
                <w:color w:val="000000" w:themeColor="text1"/>
                <w:kern w:val="0"/>
                <w:sz w:val="24"/>
                <w:szCs w:val="24"/>
                <w:bdr w:val="none" w:sz="0" w:space="0" w:color="auto" w:frame="1"/>
              </w:rPr>
              <w:t>交易概况</w:t>
            </w:r>
          </w:p>
          <w:p w14:paraId="3719FCF9" w14:textId="77777777" w:rsidR="00CB00DF" w:rsidRPr="007B5472" w:rsidRDefault="00CB00DF" w:rsidP="00CB00DF">
            <w:pPr>
              <w:spacing w:line="500" w:lineRule="exact"/>
              <w:jc w:val="center"/>
              <w:rPr>
                <w:rFonts w:ascii="仿宋" w:eastAsia="仿宋" w:hAnsi="仿宋" w:cs="宋体"/>
                <w:color w:val="000000" w:themeColor="text1"/>
                <w:kern w:val="0"/>
                <w:sz w:val="24"/>
                <w:szCs w:val="24"/>
                <w:bdr w:val="none" w:sz="0" w:space="0" w:color="auto" w:frame="1"/>
              </w:rPr>
            </w:pPr>
            <w:r w:rsidRPr="007B5472">
              <w:rPr>
                <w:rFonts w:ascii="仿宋" w:eastAsia="仿宋" w:hAnsi="仿宋" w:cs="宋体" w:hint="eastAsia"/>
                <w:color w:val="000000" w:themeColor="text1"/>
                <w:kern w:val="0"/>
                <w:sz w:val="24"/>
                <w:szCs w:val="24"/>
                <w:bdr w:val="none" w:sz="0" w:space="0" w:color="auto" w:frame="1"/>
              </w:rPr>
              <w:t>（限200字内）</w:t>
            </w:r>
          </w:p>
        </w:tc>
        <w:tc>
          <w:tcPr>
            <w:tcW w:w="6949" w:type="dxa"/>
            <w:gridSpan w:val="2"/>
          </w:tcPr>
          <w:p w14:paraId="7B0AA908" w14:textId="77777777" w:rsidR="00CB00DF" w:rsidRPr="007B5472" w:rsidRDefault="006124C6" w:rsidP="00944DA6">
            <w:pPr>
              <w:spacing w:line="500" w:lineRule="exact"/>
              <w:rPr>
                <w:rFonts w:ascii="仿宋" w:eastAsia="仿宋" w:hAnsi="仿宋" w:cs="宋体"/>
                <w:color w:val="000000" w:themeColor="text1"/>
                <w:kern w:val="0"/>
                <w:sz w:val="24"/>
                <w:szCs w:val="24"/>
                <w:bdr w:val="none" w:sz="0" w:space="0" w:color="auto" w:frame="1"/>
              </w:rPr>
            </w:pPr>
            <w:r w:rsidRPr="007B5472">
              <w:rPr>
                <w:rFonts w:ascii="仿宋" w:eastAsia="仿宋" w:hAnsi="仿宋" w:cs="宋体" w:hint="eastAsia"/>
                <w:color w:val="000000" w:themeColor="text1"/>
                <w:kern w:val="0"/>
                <w:sz w:val="24"/>
                <w:szCs w:val="24"/>
                <w:bdr w:val="none" w:sz="0" w:space="0" w:color="auto" w:frame="1"/>
              </w:rPr>
              <w:t xml:space="preserve">   </w:t>
            </w:r>
            <w:r w:rsidR="004A35DF" w:rsidRPr="007B5472">
              <w:rPr>
                <w:rFonts w:ascii="仿宋" w:eastAsia="仿宋" w:hAnsi="仿宋" w:cs="宋体" w:hint="eastAsia"/>
                <w:color w:val="000000" w:themeColor="text1"/>
                <w:kern w:val="0"/>
                <w:sz w:val="24"/>
                <w:szCs w:val="24"/>
                <w:bdr w:val="none" w:sz="0" w:space="0" w:color="auto" w:frame="1"/>
                <w:lang w:val="en-GB"/>
              </w:rPr>
              <w:t>本交易涉及</w:t>
            </w:r>
            <w:r w:rsidRPr="007B5472">
              <w:rPr>
                <w:rFonts w:ascii="仿宋" w:eastAsia="仿宋" w:hAnsi="仿宋" w:cs="宋体" w:hint="eastAsia"/>
                <w:color w:val="000000" w:themeColor="text1"/>
                <w:kern w:val="0"/>
                <w:sz w:val="24"/>
                <w:szCs w:val="24"/>
                <w:bdr w:val="none" w:sz="0" w:space="0" w:color="auto" w:frame="1"/>
              </w:rPr>
              <w:t>四方股份、中车长客以及成都产投</w:t>
            </w:r>
            <w:r w:rsidR="004A35DF" w:rsidRPr="007B5472">
              <w:rPr>
                <w:rFonts w:ascii="仿宋" w:eastAsia="仿宋" w:hAnsi="仿宋" w:cs="宋体" w:hint="eastAsia"/>
                <w:color w:val="000000" w:themeColor="text1"/>
                <w:kern w:val="0"/>
                <w:sz w:val="24"/>
                <w:szCs w:val="24"/>
                <w:bdr w:val="none" w:sz="0" w:space="0" w:color="auto" w:frame="1"/>
              </w:rPr>
              <w:t>设立合资企业事宜</w:t>
            </w:r>
            <w:r w:rsidRPr="007B5472">
              <w:rPr>
                <w:rFonts w:ascii="仿宋" w:eastAsia="仿宋" w:hAnsi="仿宋" w:cs="宋体" w:hint="eastAsia"/>
                <w:color w:val="000000" w:themeColor="text1"/>
                <w:kern w:val="0"/>
                <w:sz w:val="24"/>
                <w:szCs w:val="24"/>
                <w:bdr w:val="none" w:sz="0" w:space="0" w:color="auto" w:frame="1"/>
              </w:rPr>
              <w:t>，各方分别持有合资公司40%、25%以及35%的股份。</w:t>
            </w:r>
            <w:r w:rsidR="00944DA6" w:rsidRPr="007B5472">
              <w:rPr>
                <w:rFonts w:ascii="仿宋" w:eastAsia="仿宋" w:hAnsi="仿宋" w:cs="宋体" w:hint="eastAsia"/>
                <w:color w:val="000000" w:themeColor="text1"/>
                <w:kern w:val="0"/>
                <w:sz w:val="24"/>
                <w:szCs w:val="24"/>
                <w:bdr w:val="none" w:sz="0" w:space="0" w:color="auto" w:frame="1"/>
              </w:rPr>
              <w:t>合资企业成立后主要从事成都地区城轨及市域车辆和相关装备的维修及售后服务业务</w:t>
            </w:r>
            <w:r w:rsidR="003A0DD2" w:rsidRPr="007B5472">
              <w:rPr>
                <w:rFonts w:ascii="仿宋" w:eastAsia="仿宋" w:hAnsi="仿宋" w:cs="宋体" w:hint="eastAsia"/>
                <w:color w:val="000000" w:themeColor="text1"/>
                <w:kern w:val="0"/>
                <w:sz w:val="24"/>
                <w:szCs w:val="24"/>
                <w:bdr w:val="none" w:sz="0" w:space="0" w:color="auto" w:frame="1"/>
              </w:rPr>
              <w:t>。</w:t>
            </w:r>
          </w:p>
        </w:tc>
      </w:tr>
      <w:tr w:rsidR="007B5472" w:rsidRPr="007B5472" w14:paraId="16C091B3" w14:textId="77777777" w:rsidTr="00CB00DF">
        <w:trPr>
          <w:trHeight w:val="468"/>
        </w:trPr>
        <w:tc>
          <w:tcPr>
            <w:tcW w:w="1809" w:type="dxa"/>
            <w:vMerge w:val="restart"/>
            <w:shd w:val="clear" w:color="auto" w:fill="D9D9D9"/>
            <w:vAlign w:val="center"/>
          </w:tcPr>
          <w:p w14:paraId="19D893FA" w14:textId="77777777" w:rsidR="00F1624E" w:rsidRPr="007B5472" w:rsidRDefault="00CB00DF" w:rsidP="00CB00DF">
            <w:pPr>
              <w:spacing w:line="500" w:lineRule="exact"/>
              <w:jc w:val="center"/>
              <w:rPr>
                <w:rFonts w:ascii="仿宋" w:eastAsia="仿宋" w:hAnsi="仿宋" w:cs="宋体"/>
                <w:color w:val="000000" w:themeColor="text1"/>
                <w:kern w:val="0"/>
                <w:sz w:val="24"/>
                <w:szCs w:val="24"/>
                <w:bdr w:val="none" w:sz="0" w:space="0" w:color="auto" w:frame="1"/>
              </w:rPr>
            </w:pPr>
            <w:r w:rsidRPr="007B5472">
              <w:rPr>
                <w:rFonts w:ascii="仿宋" w:eastAsia="仿宋" w:hAnsi="仿宋" w:cs="宋体" w:hint="eastAsia"/>
                <w:color w:val="000000" w:themeColor="text1"/>
                <w:kern w:val="0"/>
                <w:sz w:val="24"/>
                <w:szCs w:val="24"/>
                <w:bdr w:val="none" w:sz="0" w:space="0" w:color="auto" w:frame="1"/>
              </w:rPr>
              <w:t>参与集中的</w:t>
            </w:r>
          </w:p>
          <w:p w14:paraId="24B19711" w14:textId="77777777" w:rsidR="00CB00DF" w:rsidRPr="007B5472" w:rsidRDefault="00CB00DF" w:rsidP="00CB00DF">
            <w:pPr>
              <w:spacing w:line="500" w:lineRule="exact"/>
              <w:jc w:val="center"/>
              <w:rPr>
                <w:rFonts w:ascii="仿宋" w:eastAsia="仿宋" w:hAnsi="仿宋" w:cs="宋体"/>
                <w:color w:val="000000" w:themeColor="text1"/>
                <w:kern w:val="0"/>
                <w:sz w:val="24"/>
                <w:szCs w:val="24"/>
                <w:bdr w:val="none" w:sz="0" w:space="0" w:color="auto" w:frame="1"/>
              </w:rPr>
            </w:pPr>
            <w:r w:rsidRPr="007B5472">
              <w:rPr>
                <w:rFonts w:ascii="仿宋" w:eastAsia="仿宋" w:hAnsi="仿宋" w:cs="宋体" w:hint="eastAsia"/>
                <w:color w:val="000000" w:themeColor="text1"/>
                <w:kern w:val="0"/>
                <w:sz w:val="24"/>
                <w:szCs w:val="24"/>
                <w:bdr w:val="none" w:sz="0" w:space="0" w:color="auto" w:frame="1"/>
              </w:rPr>
              <w:t>经营者简介</w:t>
            </w:r>
          </w:p>
        </w:tc>
        <w:tc>
          <w:tcPr>
            <w:tcW w:w="1796" w:type="dxa"/>
          </w:tcPr>
          <w:p w14:paraId="4BFD3853" w14:textId="77777777" w:rsidR="00CB00DF" w:rsidRPr="007B5472" w:rsidRDefault="00CB00DF" w:rsidP="006908A4">
            <w:pPr>
              <w:spacing w:line="500" w:lineRule="exact"/>
              <w:rPr>
                <w:rFonts w:ascii="仿宋" w:eastAsia="仿宋" w:hAnsi="仿宋" w:cs="宋体"/>
                <w:color w:val="000000" w:themeColor="text1"/>
                <w:kern w:val="0"/>
                <w:sz w:val="24"/>
                <w:szCs w:val="24"/>
                <w:bdr w:val="none" w:sz="0" w:space="0" w:color="auto" w:frame="1"/>
              </w:rPr>
            </w:pPr>
            <w:r w:rsidRPr="007B5472">
              <w:rPr>
                <w:rFonts w:ascii="仿宋" w:eastAsia="仿宋" w:hAnsi="仿宋" w:cs="宋体" w:hint="eastAsia"/>
                <w:color w:val="000000" w:themeColor="text1"/>
                <w:kern w:val="0"/>
                <w:sz w:val="24"/>
                <w:szCs w:val="24"/>
                <w:bdr w:val="none" w:sz="0" w:space="0" w:color="auto" w:frame="1"/>
              </w:rPr>
              <w:t>1、</w:t>
            </w:r>
            <w:r w:rsidR="0076592E" w:rsidRPr="007B5472">
              <w:rPr>
                <w:rFonts w:ascii="仿宋" w:eastAsia="仿宋" w:hAnsi="仿宋" w:cs="宋体" w:hint="eastAsia"/>
                <w:color w:val="000000" w:themeColor="text1"/>
                <w:kern w:val="0"/>
                <w:sz w:val="24"/>
                <w:szCs w:val="24"/>
                <w:bdr w:val="none" w:sz="0" w:space="0" w:color="auto" w:frame="1"/>
              </w:rPr>
              <w:t>中车青岛四方机车车辆股份有限公司</w:t>
            </w:r>
          </w:p>
        </w:tc>
        <w:tc>
          <w:tcPr>
            <w:tcW w:w="5153" w:type="dxa"/>
          </w:tcPr>
          <w:p w14:paraId="4C669720" w14:textId="77777777" w:rsidR="00CB00DF" w:rsidRPr="007B5472" w:rsidRDefault="0076592E" w:rsidP="00AE5D8F">
            <w:pPr>
              <w:spacing w:line="500" w:lineRule="exact"/>
              <w:rPr>
                <w:rFonts w:ascii="仿宋" w:eastAsia="仿宋" w:hAnsi="仿宋" w:cs="宋体"/>
                <w:color w:val="000000" w:themeColor="text1"/>
                <w:kern w:val="0"/>
                <w:sz w:val="24"/>
                <w:szCs w:val="24"/>
                <w:bdr w:val="none" w:sz="0" w:space="0" w:color="auto" w:frame="1"/>
              </w:rPr>
            </w:pPr>
            <w:r w:rsidRPr="007B5472">
              <w:rPr>
                <w:rFonts w:ascii="仿宋" w:eastAsia="仿宋" w:hAnsi="仿宋" w:cs="宋体" w:hint="eastAsia"/>
                <w:color w:val="000000" w:themeColor="text1"/>
                <w:kern w:val="0"/>
                <w:sz w:val="24"/>
                <w:szCs w:val="24"/>
                <w:bdr w:val="none" w:sz="0" w:space="0" w:color="auto" w:frame="1"/>
              </w:rPr>
              <w:t>中车青岛四方机车车辆股份有限公司设立于</w:t>
            </w:r>
            <w:r w:rsidR="00AE5D8F" w:rsidRPr="007B5472">
              <w:rPr>
                <w:rFonts w:ascii="仿宋" w:eastAsia="仿宋" w:hAnsi="仿宋" w:cs="宋体" w:hint="eastAsia"/>
                <w:color w:val="000000" w:themeColor="text1"/>
                <w:kern w:val="0"/>
                <w:sz w:val="24"/>
                <w:szCs w:val="24"/>
                <w:bdr w:val="none" w:sz="0" w:space="0" w:color="auto" w:frame="1"/>
              </w:rPr>
              <w:t>2002年7月22日，主要从事铁路机车、客车、动车组、城市轨道交通设备的设计、制造、修理、销售、租赁等业务。</w:t>
            </w:r>
          </w:p>
        </w:tc>
      </w:tr>
      <w:tr w:rsidR="007B5472" w:rsidRPr="007B5472" w14:paraId="0E116F98" w14:textId="77777777" w:rsidTr="00CB00DF">
        <w:trPr>
          <w:trHeight w:val="404"/>
        </w:trPr>
        <w:tc>
          <w:tcPr>
            <w:tcW w:w="1809" w:type="dxa"/>
            <w:vMerge/>
            <w:shd w:val="clear" w:color="auto" w:fill="D9D9D9"/>
            <w:vAlign w:val="center"/>
          </w:tcPr>
          <w:p w14:paraId="74A24928" w14:textId="77777777" w:rsidR="00CB00DF" w:rsidRPr="007B5472" w:rsidRDefault="00CB00DF" w:rsidP="00CB00DF">
            <w:pPr>
              <w:spacing w:line="500" w:lineRule="exact"/>
              <w:jc w:val="center"/>
              <w:rPr>
                <w:rFonts w:ascii="仿宋" w:eastAsia="仿宋" w:hAnsi="仿宋" w:cs="宋体"/>
                <w:color w:val="000000" w:themeColor="text1"/>
                <w:kern w:val="0"/>
                <w:sz w:val="24"/>
                <w:szCs w:val="24"/>
                <w:bdr w:val="none" w:sz="0" w:space="0" w:color="auto" w:frame="1"/>
              </w:rPr>
            </w:pPr>
          </w:p>
        </w:tc>
        <w:tc>
          <w:tcPr>
            <w:tcW w:w="1796" w:type="dxa"/>
          </w:tcPr>
          <w:p w14:paraId="10DD682A" w14:textId="77777777" w:rsidR="00CB00DF" w:rsidRPr="007B5472" w:rsidRDefault="00CB00DF" w:rsidP="006908A4">
            <w:pPr>
              <w:spacing w:line="500" w:lineRule="exact"/>
              <w:rPr>
                <w:rFonts w:ascii="仿宋" w:eastAsia="仿宋" w:hAnsi="仿宋" w:cs="宋体"/>
                <w:color w:val="000000" w:themeColor="text1"/>
                <w:kern w:val="0"/>
                <w:sz w:val="24"/>
                <w:szCs w:val="24"/>
                <w:bdr w:val="none" w:sz="0" w:space="0" w:color="auto" w:frame="1"/>
              </w:rPr>
            </w:pPr>
            <w:r w:rsidRPr="007B5472">
              <w:rPr>
                <w:rFonts w:ascii="仿宋" w:eastAsia="仿宋" w:hAnsi="仿宋" w:cs="宋体" w:hint="eastAsia"/>
                <w:color w:val="000000" w:themeColor="text1"/>
                <w:kern w:val="0"/>
                <w:sz w:val="24"/>
                <w:szCs w:val="24"/>
                <w:bdr w:val="none" w:sz="0" w:space="0" w:color="auto" w:frame="1"/>
              </w:rPr>
              <w:t>2、</w:t>
            </w:r>
            <w:r w:rsidR="0076592E" w:rsidRPr="007B5472">
              <w:rPr>
                <w:rFonts w:ascii="仿宋" w:eastAsia="仿宋" w:hAnsi="仿宋" w:cs="宋体" w:hint="eastAsia"/>
                <w:bCs/>
                <w:color w:val="000000" w:themeColor="text1"/>
                <w:kern w:val="0"/>
                <w:sz w:val="24"/>
                <w:szCs w:val="24"/>
                <w:bdr w:val="none" w:sz="0" w:space="0" w:color="auto" w:frame="1"/>
              </w:rPr>
              <w:t>成都轨道产业投资有限公司</w:t>
            </w:r>
          </w:p>
        </w:tc>
        <w:tc>
          <w:tcPr>
            <w:tcW w:w="5153" w:type="dxa"/>
          </w:tcPr>
          <w:p w14:paraId="18F1C4A3" w14:textId="05AEE8EB" w:rsidR="00CB00DF" w:rsidRPr="007B5472" w:rsidRDefault="00AE5D8F" w:rsidP="007B5472">
            <w:pPr>
              <w:spacing w:line="500" w:lineRule="exact"/>
              <w:rPr>
                <w:rFonts w:ascii="仿宋" w:eastAsia="仿宋" w:hAnsi="仿宋" w:cs="宋体"/>
                <w:color w:val="000000" w:themeColor="text1"/>
                <w:kern w:val="0"/>
                <w:sz w:val="24"/>
                <w:szCs w:val="24"/>
                <w:bdr w:val="none" w:sz="0" w:space="0" w:color="auto" w:frame="1"/>
              </w:rPr>
            </w:pPr>
            <w:r w:rsidRPr="007B5472">
              <w:rPr>
                <w:rFonts w:ascii="仿宋" w:eastAsia="仿宋" w:hAnsi="仿宋" w:cs="宋体" w:hint="eastAsia"/>
                <w:bCs/>
                <w:color w:val="000000" w:themeColor="text1"/>
                <w:kern w:val="0"/>
                <w:sz w:val="24"/>
                <w:szCs w:val="24"/>
                <w:bdr w:val="none" w:sz="0" w:space="0" w:color="auto" w:frame="1"/>
              </w:rPr>
              <w:t>成都轨道产业投资有限公司设立于2018年10月17日，是成都轨道交通集团有限公司的全资子公司，主要从事</w:t>
            </w:r>
            <w:r w:rsidR="007B5472" w:rsidRPr="007B5472">
              <w:rPr>
                <w:rFonts w:ascii="仿宋" w:eastAsia="仿宋" w:hAnsi="仿宋" w:cs="宋体" w:hint="eastAsia"/>
                <w:bCs/>
                <w:color w:val="000000" w:themeColor="text1"/>
                <w:kern w:val="0"/>
                <w:sz w:val="24"/>
                <w:szCs w:val="24"/>
                <w:bdr w:val="none" w:sz="0" w:space="0" w:color="auto" w:frame="1"/>
              </w:rPr>
              <w:t>项目投资</w:t>
            </w:r>
            <w:r w:rsidR="007B5472">
              <w:rPr>
                <w:rFonts w:ascii="仿宋" w:eastAsia="仿宋" w:hAnsi="仿宋" w:cs="宋体" w:hint="eastAsia"/>
                <w:bCs/>
                <w:color w:val="000000" w:themeColor="text1"/>
                <w:kern w:val="0"/>
                <w:sz w:val="24"/>
                <w:szCs w:val="24"/>
                <w:bdr w:val="none" w:sz="0" w:space="0" w:color="auto" w:frame="1"/>
              </w:rPr>
              <w:t>、资产管理、投资咨询、</w:t>
            </w:r>
            <w:r w:rsidR="007B5472" w:rsidRPr="007B5472">
              <w:rPr>
                <w:rFonts w:ascii="仿宋" w:eastAsia="仿宋" w:hAnsi="仿宋" w:cs="宋体" w:hint="eastAsia"/>
                <w:bCs/>
                <w:color w:val="000000" w:themeColor="text1"/>
                <w:kern w:val="0"/>
                <w:sz w:val="24"/>
                <w:szCs w:val="24"/>
                <w:bdr w:val="none" w:sz="0" w:space="0" w:color="auto" w:frame="1"/>
              </w:rPr>
              <w:t>信息技术推广与服务</w:t>
            </w:r>
            <w:r w:rsidR="007B5472">
              <w:rPr>
                <w:rFonts w:ascii="仿宋" w:eastAsia="仿宋" w:hAnsi="仿宋" w:cs="宋体" w:hint="eastAsia"/>
                <w:bCs/>
                <w:color w:val="000000" w:themeColor="text1"/>
                <w:kern w:val="0"/>
                <w:sz w:val="24"/>
                <w:szCs w:val="24"/>
                <w:bdr w:val="none" w:sz="0" w:space="0" w:color="auto" w:frame="1"/>
              </w:rPr>
              <w:t>等业务。</w:t>
            </w:r>
          </w:p>
        </w:tc>
      </w:tr>
      <w:tr w:rsidR="007B5472" w:rsidRPr="007B5472" w14:paraId="67BBAFBE" w14:textId="77777777" w:rsidTr="00CB00DF">
        <w:trPr>
          <w:trHeight w:val="404"/>
        </w:trPr>
        <w:tc>
          <w:tcPr>
            <w:tcW w:w="1809" w:type="dxa"/>
            <w:vMerge/>
            <w:shd w:val="clear" w:color="auto" w:fill="D9D9D9"/>
            <w:vAlign w:val="center"/>
          </w:tcPr>
          <w:p w14:paraId="4DF2CD8B" w14:textId="77777777" w:rsidR="00CB00DF" w:rsidRPr="007B5472" w:rsidRDefault="00CB00DF" w:rsidP="00CB00DF">
            <w:pPr>
              <w:spacing w:line="500" w:lineRule="exact"/>
              <w:jc w:val="center"/>
              <w:rPr>
                <w:rFonts w:ascii="仿宋" w:eastAsia="仿宋" w:hAnsi="仿宋" w:cs="宋体"/>
                <w:color w:val="000000" w:themeColor="text1"/>
                <w:kern w:val="0"/>
                <w:sz w:val="24"/>
                <w:szCs w:val="24"/>
                <w:bdr w:val="none" w:sz="0" w:space="0" w:color="auto" w:frame="1"/>
              </w:rPr>
            </w:pPr>
          </w:p>
        </w:tc>
        <w:tc>
          <w:tcPr>
            <w:tcW w:w="1796" w:type="dxa"/>
          </w:tcPr>
          <w:p w14:paraId="76C43797" w14:textId="77777777" w:rsidR="00CB00DF" w:rsidRPr="007B5472" w:rsidRDefault="0076592E" w:rsidP="006908A4">
            <w:pPr>
              <w:spacing w:line="500" w:lineRule="exact"/>
              <w:rPr>
                <w:rFonts w:ascii="仿宋" w:eastAsia="仿宋" w:hAnsi="仿宋" w:cs="宋体"/>
                <w:color w:val="000000" w:themeColor="text1"/>
                <w:kern w:val="0"/>
                <w:sz w:val="24"/>
                <w:szCs w:val="24"/>
                <w:bdr w:val="none" w:sz="0" w:space="0" w:color="auto" w:frame="1"/>
              </w:rPr>
            </w:pPr>
            <w:r w:rsidRPr="007B5472">
              <w:rPr>
                <w:rFonts w:ascii="仿宋" w:eastAsia="仿宋" w:hAnsi="仿宋" w:cs="宋体" w:hint="eastAsia"/>
                <w:color w:val="000000" w:themeColor="text1"/>
                <w:kern w:val="0"/>
                <w:sz w:val="24"/>
                <w:szCs w:val="24"/>
                <w:bdr w:val="none" w:sz="0" w:space="0" w:color="auto" w:frame="1"/>
              </w:rPr>
              <w:t>3.</w:t>
            </w:r>
            <w:r w:rsidRPr="007B5472">
              <w:rPr>
                <w:rFonts w:ascii="仿宋" w:eastAsia="仿宋" w:hAnsi="仿宋" w:cs="宋体" w:hint="eastAsia"/>
                <w:bCs/>
                <w:color w:val="000000" w:themeColor="text1"/>
                <w:kern w:val="0"/>
                <w:sz w:val="24"/>
                <w:szCs w:val="24"/>
                <w:bdr w:val="none" w:sz="0" w:space="0" w:color="auto" w:frame="1"/>
              </w:rPr>
              <w:t xml:space="preserve"> 中车长春轨道客车股份有限公司</w:t>
            </w:r>
          </w:p>
        </w:tc>
        <w:tc>
          <w:tcPr>
            <w:tcW w:w="5153" w:type="dxa"/>
          </w:tcPr>
          <w:p w14:paraId="6095A3D9" w14:textId="77777777" w:rsidR="00CB00DF" w:rsidRPr="007B5472" w:rsidRDefault="00AE5D8F" w:rsidP="006908A4">
            <w:pPr>
              <w:spacing w:line="500" w:lineRule="exact"/>
              <w:rPr>
                <w:rFonts w:ascii="仿宋" w:eastAsia="仿宋" w:hAnsi="仿宋" w:cs="宋体"/>
                <w:color w:val="000000" w:themeColor="text1"/>
                <w:kern w:val="0"/>
                <w:sz w:val="24"/>
                <w:szCs w:val="24"/>
                <w:bdr w:val="none" w:sz="0" w:space="0" w:color="auto" w:frame="1"/>
              </w:rPr>
            </w:pPr>
            <w:r w:rsidRPr="007B5472">
              <w:rPr>
                <w:rFonts w:ascii="仿宋" w:eastAsia="仿宋" w:hAnsi="仿宋" w:cs="宋体" w:hint="eastAsia"/>
                <w:bCs/>
                <w:color w:val="000000" w:themeColor="text1"/>
                <w:kern w:val="0"/>
                <w:sz w:val="24"/>
                <w:szCs w:val="24"/>
                <w:bdr w:val="none" w:sz="0" w:space="0" w:color="auto" w:frame="1"/>
              </w:rPr>
              <w:t>中车长春轨道客车股份有限公司设立于</w:t>
            </w:r>
            <w:r w:rsidRPr="007B5472">
              <w:rPr>
                <w:rFonts w:ascii="仿宋" w:eastAsia="仿宋" w:hAnsi="仿宋"/>
                <w:color w:val="000000" w:themeColor="text1"/>
              </w:rPr>
              <w:t>200</w:t>
            </w:r>
            <w:r w:rsidRPr="007B5472">
              <w:rPr>
                <w:rFonts w:ascii="仿宋" w:eastAsia="仿宋" w:hAnsi="仿宋" w:hint="eastAsia"/>
                <w:color w:val="000000" w:themeColor="text1"/>
              </w:rPr>
              <w:t>2年3月18日，主要从事铁路客车、动车组、城市轨道车辆及配件的设计、制造、修理、销售、租赁及相关领域的技术服务、技术咨询等业务。</w:t>
            </w:r>
          </w:p>
        </w:tc>
      </w:tr>
      <w:tr w:rsidR="007B5472" w:rsidRPr="007B5472" w14:paraId="52468E85" w14:textId="77777777" w:rsidTr="00CB00DF">
        <w:trPr>
          <w:trHeight w:val="279"/>
        </w:trPr>
        <w:tc>
          <w:tcPr>
            <w:tcW w:w="1809" w:type="dxa"/>
            <w:vMerge w:val="restart"/>
            <w:shd w:val="clear" w:color="auto" w:fill="D9D9D9"/>
            <w:vAlign w:val="center"/>
          </w:tcPr>
          <w:p w14:paraId="26520C27" w14:textId="77777777" w:rsidR="00CB00DF" w:rsidRPr="007B5472" w:rsidRDefault="00CB00DF" w:rsidP="00CB00DF">
            <w:pPr>
              <w:spacing w:line="500" w:lineRule="exact"/>
              <w:jc w:val="center"/>
              <w:rPr>
                <w:rFonts w:ascii="仿宋" w:eastAsia="仿宋" w:hAnsi="仿宋" w:cs="宋体"/>
                <w:color w:val="000000" w:themeColor="text1"/>
                <w:kern w:val="0"/>
                <w:sz w:val="24"/>
                <w:szCs w:val="24"/>
                <w:bdr w:val="none" w:sz="0" w:space="0" w:color="auto" w:frame="1"/>
              </w:rPr>
            </w:pPr>
            <w:r w:rsidRPr="007B5472">
              <w:rPr>
                <w:rFonts w:ascii="仿宋" w:eastAsia="仿宋" w:hAnsi="仿宋" w:cs="宋体" w:hint="eastAsia"/>
                <w:color w:val="000000" w:themeColor="text1"/>
                <w:kern w:val="0"/>
                <w:sz w:val="24"/>
                <w:szCs w:val="24"/>
                <w:bdr w:val="none" w:sz="0" w:space="0" w:color="auto" w:frame="1"/>
              </w:rPr>
              <w:t>简易案件理由（可以单选，也可以多选）</w:t>
            </w:r>
          </w:p>
        </w:tc>
        <w:tc>
          <w:tcPr>
            <w:tcW w:w="6949" w:type="dxa"/>
            <w:gridSpan w:val="2"/>
          </w:tcPr>
          <w:p w14:paraId="34A8FEDF" w14:textId="77777777" w:rsidR="00CB00DF" w:rsidRPr="007B5472" w:rsidRDefault="003A0DD2" w:rsidP="006908A4">
            <w:pPr>
              <w:spacing w:line="500" w:lineRule="exact"/>
              <w:rPr>
                <w:rFonts w:ascii="仿宋" w:eastAsia="仿宋" w:hAnsi="仿宋" w:cs="宋体"/>
                <w:color w:val="000000" w:themeColor="text1"/>
                <w:kern w:val="0"/>
                <w:sz w:val="24"/>
                <w:szCs w:val="24"/>
                <w:bdr w:val="none" w:sz="0" w:space="0" w:color="auto" w:frame="1"/>
              </w:rPr>
            </w:pPr>
            <w:r w:rsidRPr="007B5472">
              <w:rPr>
                <w:rFonts w:ascii="仿宋" w:eastAsia="仿宋" w:hAnsi="仿宋" w:cs="宋体" w:hint="eastAsia"/>
                <w:color w:val="000000" w:themeColor="text1"/>
                <w:kern w:val="0"/>
                <w:sz w:val="24"/>
                <w:szCs w:val="24"/>
                <w:bdr w:val="none" w:sz="0" w:space="0" w:color="auto" w:frame="1"/>
              </w:rPr>
              <w:sym w:font="Wingdings" w:char="F0FE"/>
            </w:r>
            <w:r w:rsidR="00CB00DF" w:rsidRPr="007B5472">
              <w:rPr>
                <w:rFonts w:ascii="仿宋" w:eastAsia="仿宋" w:hAnsi="仿宋" w:cs="宋体" w:hint="eastAsia"/>
                <w:color w:val="000000" w:themeColor="text1"/>
                <w:kern w:val="0"/>
                <w:sz w:val="24"/>
                <w:szCs w:val="24"/>
                <w:bdr w:val="none" w:sz="0" w:space="0" w:color="auto" w:frame="1"/>
              </w:rPr>
              <w:t>1.在同一相关市场，所有参与集中的经营者所占市场份额之和小于15%。</w:t>
            </w:r>
          </w:p>
        </w:tc>
      </w:tr>
      <w:tr w:rsidR="007B5472" w:rsidRPr="007B5472" w14:paraId="59519BF1" w14:textId="77777777" w:rsidTr="00CB00DF">
        <w:trPr>
          <w:trHeight w:val="330"/>
        </w:trPr>
        <w:tc>
          <w:tcPr>
            <w:tcW w:w="1809" w:type="dxa"/>
            <w:vMerge/>
            <w:shd w:val="clear" w:color="auto" w:fill="D9D9D9"/>
            <w:vAlign w:val="center"/>
          </w:tcPr>
          <w:p w14:paraId="77D67887" w14:textId="77777777" w:rsidR="00CB00DF" w:rsidRPr="007B5472" w:rsidRDefault="00CB00DF" w:rsidP="00CB00DF">
            <w:pPr>
              <w:spacing w:line="500" w:lineRule="exact"/>
              <w:jc w:val="center"/>
              <w:rPr>
                <w:rFonts w:ascii="仿宋" w:eastAsia="仿宋" w:hAnsi="仿宋" w:cs="宋体"/>
                <w:color w:val="000000" w:themeColor="text1"/>
                <w:kern w:val="0"/>
                <w:sz w:val="24"/>
                <w:szCs w:val="24"/>
                <w:bdr w:val="none" w:sz="0" w:space="0" w:color="auto" w:frame="1"/>
              </w:rPr>
            </w:pPr>
          </w:p>
        </w:tc>
        <w:tc>
          <w:tcPr>
            <w:tcW w:w="6949" w:type="dxa"/>
            <w:gridSpan w:val="2"/>
          </w:tcPr>
          <w:p w14:paraId="79DAC8AD" w14:textId="0E85261F" w:rsidR="00CB00DF" w:rsidRPr="007B5472" w:rsidRDefault="005D792B" w:rsidP="006908A4">
            <w:pPr>
              <w:spacing w:line="500" w:lineRule="exact"/>
              <w:rPr>
                <w:rFonts w:ascii="仿宋" w:eastAsia="仿宋" w:hAnsi="仿宋" w:cs="宋体"/>
                <w:color w:val="000000" w:themeColor="text1"/>
                <w:kern w:val="0"/>
                <w:sz w:val="24"/>
                <w:szCs w:val="24"/>
                <w:bdr w:val="none" w:sz="0" w:space="0" w:color="auto" w:frame="1"/>
              </w:rPr>
            </w:pPr>
            <w:r w:rsidRPr="007B5472">
              <w:rPr>
                <w:rFonts w:ascii="仿宋" w:eastAsia="仿宋" w:hAnsi="仿宋" w:cs="宋体" w:hint="eastAsia"/>
                <w:color w:val="000000" w:themeColor="text1"/>
                <w:kern w:val="0"/>
                <w:sz w:val="24"/>
                <w:szCs w:val="24"/>
                <w:bdr w:val="none" w:sz="0" w:space="0" w:color="auto" w:frame="1"/>
              </w:rPr>
              <w:t>□</w:t>
            </w:r>
            <w:r w:rsidR="00CB00DF" w:rsidRPr="007B5472">
              <w:rPr>
                <w:rFonts w:ascii="仿宋" w:eastAsia="仿宋" w:hAnsi="仿宋" w:cs="宋体" w:hint="eastAsia"/>
                <w:color w:val="000000" w:themeColor="text1"/>
                <w:kern w:val="0"/>
                <w:sz w:val="24"/>
                <w:szCs w:val="24"/>
                <w:bdr w:val="none" w:sz="0" w:space="0" w:color="auto" w:frame="1"/>
              </w:rPr>
              <w:t>2.存在上下游关系的参与集中的经营者，在上下游市场所占的市场份额均小于25%。</w:t>
            </w:r>
          </w:p>
        </w:tc>
      </w:tr>
      <w:tr w:rsidR="007B5472" w:rsidRPr="007B5472" w14:paraId="64A18966" w14:textId="77777777" w:rsidTr="00CB00DF">
        <w:trPr>
          <w:trHeight w:val="285"/>
        </w:trPr>
        <w:tc>
          <w:tcPr>
            <w:tcW w:w="1809" w:type="dxa"/>
            <w:vMerge/>
            <w:shd w:val="clear" w:color="auto" w:fill="D9D9D9"/>
            <w:vAlign w:val="center"/>
          </w:tcPr>
          <w:p w14:paraId="2AD85993" w14:textId="77777777" w:rsidR="00CB00DF" w:rsidRPr="007B5472" w:rsidRDefault="00CB00DF" w:rsidP="00CB00DF">
            <w:pPr>
              <w:spacing w:line="500" w:lineRule="exact"/>
              <w:jc w:val="center"/>
              <w:rPr>
                <w:rFonts w:ascii="仿宋" w:eastAsia="仿宋" w:hAnsi="仿宋" w:cs="宋体"/>
                <w:color w:val="000000" w:themeColor="text1"/>
                <w:kern w:val="0"/>
                <w:sz w:val="24"/>
                <w:szCs w:val="24"/>
                <w:bdr w:val="none" w:sz="0" w:space="0" w:color="auto" w:frame="1"/>
              </w:rPr>
            </w:pPr>
          </w:p>
        </w:tc>
        <w:tc>
          <w:tcPr>
            <w:tcW w:w="6949" w:type="dxa"/>
            <w:gridSpan w:val="2"/>
          </w:tcPr>
          <w:p w14:paraId="48F11AE4" w14:textId="77777777" w:rsidR="00CB00DF" w:rsidRPr="007B5472" w:rsidRDefault="00CB00DF" w:rsidP="006908A4">
            <w:pPr>
              <w:spacing w:line="500" w:lineRule="exact"/>
              <w:rPr>
                <w:rFonts w:ascii="仿宋" w:eastAsia="仿宋" w:hAnsi="仿宋" w:cs="宋体"/>
                <w:color w:val="000000" w:themeColor="text1"/>
                <w:kern w:val="0"/>
                <w:sz w:val="24"/>
                <w:szCs w:val="24"/>
                <w:bdr w:val="none" w:sz="0" w:space="0" w:color="auto" w:frame="1"/>
              </w:rPr>
            </w:pPr>
            <w:r w:rsidRPr="007B5472">
              <w:rPr>
                <w:rFonts w:ascii="仿宋" w:eastAsia="仿宋" w:hAnsi="仿宋" w:cs="宋体" w:hint="eastAsia"/>
                <w:color w:val="000000" w:themeColor="text1"/>
                <w:kern w:val="0"/>
                <w:sz w:val="24"/>
                <w:szCs w:val="24"/>
                <w:bdr w:val="none" w:sz="0" w:space="0" w:color="auto" w:frame="1"/>
              </w:rPr>
              <w:t>□3.不在同一相关市场、也不存在上下游关系的参与集中的经营</w:t>
            </w:r>
            <w:r w:rsidRPr="007B5472">
              <w:rPr>
                <w:rFonts w:ascii="仿宋" w:eastAsia="仿宋" w:hAnsi="仿宋" w:cs="宋体" w:hint="eastAsia"/>
                <w:color w:val="000000" w:themeColor="text1"/>
                <w:kern w:val="0"/>
                <w:sz w:val="24"/>
                <w:szCs w:val="24"/>
                <w:bdr w:val="none" w:sz="0" w:space="0" w:color="auto" w:frame="1"/>
              </w:rPr>
              <w:lastRenderedPageBreak/>
              <w:t>者，在与交易有关的每个市场所占的份额均小于25%。</w:t>
            </w:r>
          </w:p>
        </w:tc>
      </w:tr>
      <w:tr w:rsidR="007B5472" w:rsidRPr="007B5472" w14:paraId="7D8177A1" w14:textId="77777777" w:rsidTr="00CB00DF">
        <w:trPr>
          <w:trHeight w:val="870"/>
        </w:trPr>
        <w:tc>
          <w:tcPr>
            <w:tcW w:w="1809" w:type="dxa"/>
            <w:vMerge/>
            <w:shd w:val="clear" w:color="auto" w:fill="D9D9D9"/>
            <w:vAlign w:val="center"/>
          </w:tcPr>
          <w:p w14:paraId="2420EF77" w14:textId="77777777" w:rsidR="00CB00DF" w:rsidRPr="007B5472" w:rsidRDefault="00CB00DF" w:rsidP="00CB00DF">
            <w:pPr>
              <w:spacing w:line="500" w:lineRule="exact"/>
              <w:jc w:val="center"/>
              <w:rPr>
                <w:rFonts w:ascii="仿宋" w:eastAsia="仿宋" w:hAnsi="仿宋" w:cs="宋体"/>
                <w:color w:val="000000" w:themeColor="text1"/>
                <w:kern w:val="0"/>
                <w:sz w:val="24"/>
                <w:szCs w:val="24"/>
                <w:bdr w:val="none" w:sz="0" w:space="0" w:color="auto" w:frame="1"/>
              </w:rPr>
            </w:pPr>
          </w:p>
        </w:tc>
        <w:tc>
          <w:tcPr>
            <w:tcW w:w="6949" w:type="dxa"/>
            <w:gridSpan w:val="2"/>
          </w:tcPr>
          <w:p w14:paraId="1E8F60CE" w14:textId="77777777" w:rsidR="00CB00DF" w:rsidRPr="007B5472" w:rsidRDefault="00CB00DF" w:rsidP="006908A4">
            <w:pPr>
              <w:spacing w:line="500" w:lineRule="exact"/>
              <w:rPr>
                <w:rFonts w:ascii="仿宋" w:eastAsia="仿宋" w:hAnsi="仿宋" w:cs="宋体"/>
                <w:color w:val="000000" w:themeColor="text1"/>
                <w:kern w:val="0"/>
                <w:sz w:val="24"/>
                <w:szCs w:val="24"/>
                <w:bdr w:val="none" w:sz="0" w:space="0" w:color="auto" w:frame="1"/>
              </w:rPr>
            </w:pPr>
            <w:r w:rsidRPr="007B5472">
              <w:rPr>
                <w:rFonts w:ascii="仿宋" w:eastAsia="仿宋" w:hAnsi="仿宋" w:cs="宋体" w:hint="eastAsia"/>
                <w:color w:val="000000" w:themeColor="text1"/>
                <w:kern w:val="0"/>
                <w:sz w:val="24"/>
                <w:szCs w:val="24"/>
                <w:bdr w:val="none" w:sz="0" w:space="0" w:color="auto" w:frame="1"/>
              </w:rPr>
              <w:t>□4.参与集中的经营者在中国境外设立合营企业，合营企业不在中国境内从事经济活动。</w:t>
            </w:r>
          </w:p>
        </w:tc>
      </w:tr>
      <w:tr w:rsidR="007B5472" w:rsidRPr="007B5472" w14:paraId="4D201581" w14:textId="77777777" w:rsidTr="00CB00DF">
        <w:trPr>
          <w:trHeight w:val="264"/>
        </w:trPr>
        <w:tc>
          <w:tcPr>
            <w:tcW w:w="1809" w:type="dxa"/>
            <w:vMerge/>
            <w:shd w:val="clear" w:color="auto" w:fill="D9D9D9"/>
            <w:vAlign w:val="center"/>
          </w:tcPr>
          <w:p w14:paraId="6AD74F8D" w14:textId="77777777" w:rsidR="00CB00DF" w:rsidRPr="007B5472" w:rsidRDefault="00CB00DF" w:rsidP="00CB00DF">
            <w:pPr>
              <w:spacing w:line="500" w:lineRule="exact"/>
              <w:jc w:val="center"/>
              <w:rPr>
                <w:rFonts w:ascii="仿宋" w:eastAsia="仿宋" w:hAnsi="仿宋" w:cs="宋体"/>
                <w:color w:val="000000" w:themeColor="text1"/>
                <w:kern w:val="0"/>
                <w:sz w:val="24"/>
                <w:szCs w:val="24"/>
                <w:bdr w:val="none" w:sz="0" w:space="0" w:color="auto" w:frame="1"/>
              </w:rPr>
            </w:pPr>
          </w:p>
        </w:tc>
        <w:tc>
          <w:tcPr>
            <w:tcW w:w="6949" w:type="dxa"/>
            <w:gridSpan w:val="2"/>
          </w:tcPr>
          <w:p w14:paraId="6113BBFF" w14:textId="77777777" w:rsidR="00CB00DF" w:rsidRPr="007B5472" w:rsidRDefault="00CB00DF" w:rsidP="006908A4">
            <w:pPr>
              <w:spacing w:line="500" w:lineRule="exact"/>
              <w:rPr>
                <w:rFonts w:ascii="仿宋" w:eastAsia="仿宋" w:hAnsi="仿宋" w:cs="宋体"/>
                <w:color w:val="000000" w:themeColor="text1"/>
                <w:kern w:val="0"/>
                <w:sz w:val="24"/>
                <w:szCs w:val="24"/>
                <w:bdr w:val="none" w:sz="0" w:space="0" w:color="auto" w:frame="1"/>
              </w:rPr>
            </w:pPr>
            <w:r w:rsidRPr="007B5472">
              <w:rPr>
                <w:rFonts w:ascii="仿宋" w:eastAsia="仿宋" w:hAnsi="仿宋" w:cs="宋体" w:hint="eastAsia"/>
                <w:color w:val="000000" w:themeColor="text1"/>
                <w:kern w:val="0"/>
                <w:sz w:val="24"/>
                <w:szCs w:val="24"/>
                <w:bdr w:val="none" w:sz="0" w:space="0" w:color="auto" w:frame="1"/>
              </w:rPr>
              <w:t>□5.参与集中的经营者收购境外企业股权或资产的，该境外企业不在中国境内从事经济活动。</w:t>
            </w:r>
          </w:p>
        </w:tc>
      </w:tr>
      <w:tr w:rsidR="007B5472" w:rsidRPr="007B5472" w14:paraId="6A96A498" w14:textId="77777777" w:rsidTr="00CB00DF">
        <w:trPr>
          <w:trHeight w:val="345"/>
        </w:trPr>
        <w:tc>
          <w:tcPr>
            <w:tcW w:w="1809" w:type="dxa"/>
            <w:vMerge/>
            <w:shd w:val="clear" w:color="auto" w:fill="D9D9D9"/>
            <w:vAlign w:val="center"/>
          </w:tcPr>
          <w:p w14:paraId="62E5D6F8" w14:textId="77777777" w:rsidR="00CB00DF" w:rsidRPr="007B5472" w:rsidRDefault="00CB00DF" w:rsidP="00CB00DF">
            <w:pPr>
              <w:spacing w:line="500" w:lineRule="exact"/>
              <w:jc w:val="center"/>
              <w:rPr>
                <w:rFonts w:ascii="仿宋" w:eastAsia="仿宋" w:hAnsi="仿宋" w:cs="宋体"/>
                <w:color w:val="000000" w:themeColor="text1"/>
                <w:kern w:val="0"/>
                <w:sz w:val="24"/>
                <w:szCs w:val="24"/>
                <w:bdr w:val="none" w:sz="0" w:space="0" w:color="auto" w:frame="1"/>
              </w:rPr>
            </w:pPr>
          </w:p>
        </w:tc>
        <w:tc>
          <w:tcPr>
            <w:tcW w:w="6949" w:type="dxa"/>
            <w:gridSpan w:val="2"/>
          </w:tcPr>
          <w:p w14:paraId="2674D185" w14:textId="77777777" w:rsidR="00CB00DF" w:rsidRPr="007B5472" w:rsidRDefault="00CB00DF" w:rsidP="006908A4">
            <w:pPr>
              <w:spacing w:line="500" w:lineRule="exact"/>
              <w:rPr>
                <w:rFonts w:ascii="仿宋" w:eastAsia="仿宋" w:hAnsi="仿宋" w:cs="宋体"/>
                <w:color w:val="000000" w:themeColor="text1"/>
                <w:kern w:val="0"/>
                <w:sz w:val="24"/>
                <w:szCs w:val="24"/>
                <w:bdr w:val="none" w:sz="0" w:space="0" w:color="auto" w:frame="1"/>
              </w:rPr>
            </w:pPr>
            <w:r w:rsidRPr="007B5472">
              <w:rPr>
                <w:rFonts w:ascii="仿宋" w:eastAsia="仿宋" w:hAnsi="仿宋" w:cs="宋体" w:hint="eastAsia"/>
                <w:color w:val="000000" w:themeColor="text1"/>
                <w:kern w:val="0"/>
                <w:sz w:val="24"/>
                <w:szCs w:val="24"/>
                <w:bdr w:val="none" w:sz="0" w:space="0" w:color="auto" w:frame="1"/>
              </w:rPr>
              <w:t>□6.由两个以上的经营者共同控制的合营企业，通过集中被其中一个或一个以上经营者控制。</w:t>
            </w:r>
          </w:p>
        </w:tc>
      </w:tr>
      <w:tr w:rsidR="007B5472" w:rsidRPr="007B5472" w14:paraId="00D348DE" w14:textId="77777777" w:rsidTr="00CB00DF">
        <w:tc>
          <w:tcPr>
            <w:tcW w:w="1809" w:type="dxa"/>
            <w:shd w:val="clear" w:color="auto" w:fill="D9D9D9"/>
            <w:vAlign w:val="center"/>
          </w:tcPr>
          <w:p w14:paraId="30354DC9" w14:textId="77777777" w:rsidR="00CB00DF" w:rsidRPr="007B5472" w:rsidRDefault="00CB00DF" w:rsidP="00CB00DF">
            <w:pPr>
              <w:spacing w:line="500" w:lineRule="exact"/>
              <w:jc w:val="center"/>
              <w:rPr>
                <w:rFonts w:ascii="仿宋" w:eastAsia="仿宋" w:hAnsi="仿宋" w:cs="宋体"/>
                <w:color w:val="000000" w:themeColor="text1"/>
                <w:kern w:val="0"/>
                <w:sz w:val="24"/>
                <w:szCs w:val="24"/>
                <w:bdr w:val="none" w:sz="0" w:space="0" w:color="auto" w:frame="1"/>
              </w:rPr>
            </w:pPr>
            <w:r w:rsidRPr="007B5472">
              <w:rPr>
                <w:rFonts w:ascii="仿宋" w:eastAsia="仿宋" w:hAnsi="仿宋" w:cs="宋体" w:hint="eastAsia"/>
                <w:color w:val="000000" w:themeColor="text1"/>
                <w:kern w:val="0"/>
                <w:sz w:val="24"/>
                <w:szCs w:val="24"/>
                <w:bdr w:val="none" w:sz="0" w:space="0" w:color="auto" w:frame="1"/>
              </w:rPr>
              <w:t>备注</w:t>
            </w:r>
          </w:p>
        </w:tc>
        <w:tc>
          <w:tcPr>
            <w:tcW w:w="6949" w:type="dxa"/>
            <w:gridSpan w:val="2"/>
          </w:tcPr>
          <w:p w14:paraId="07F5E773" w14:textId="546969C7" w:rsidR="003A0DD2" w:rsidRPr="007B5472" w:rsidRDefault="003A0DD2" w:rsidP="003A0DD2">
            <w:pPr>
              <w:spacing w:line="500" w:lineRule="exact"/>
              <w:rPr>
                <w:rFonts w:ascii="仿宋" w:eastAsia="仿宋" w:hAnsi="仿宋"/>
                <w:color w:val="000000" w:themeColor="text1"/>
                <w:sz w:val="24"/>
                <w:szCs w:val="24"/>
              </w:rPr>
            </w:pPr>
            <w:r w:rsidRPr="007B5472">
              <w:rPr>
                <w:rFonts w:ascii="仿宋" w:eastAsia="仿宋" w:hAnsi="仿宋" w:hint="eastAsia"/>
                <w:color w:val="000000" w:themeColor="text1"/>
                <w:sz w:val="24"/>
                <w:szCs w:val="24"/>
              </w:rPr>
              <w:t>相关商品市场：</w:t>
            </w:r>
            <w:r w:rsidR="005D792B" w:rsidRPr="007B5472">
              <w:rPr>
                <w:rFonts w:ascii="仿宋" w:eastAsia="仿宋" w:hAnsi="仿宋" w:hint="eastAsia"/>
                <w:color w:val="000000" w:themeColor="text1"/>
                <w:sz w:val="24"/>
                <w:szCs w:val="24"/>
              </w:rPr>
              <w:t>城轨车辆检修服务</w:t>
            </w:r>
            <w:r w:rsidRPr="007B5472">
              <w:rPr>
                <w:rFonts w:ascii="仿宋" w:eastAsia="仿宋" w:hAnsi="仿宋" w:hint="eastAsia"/>
                <w:color w:val="000000" w:themeColor="text1"/>
                <w:sz w:val="24"/>
                <w:szCs w:val="24"/>
              </w:rPr>
              <w:t>市场。</w:t>
            </w:r>
          </w:p>
          <w:p w14:paraId="7FBCC891" w14:textId="77777777" w:rsidR="003A0DD2" w:rsidRPr="007B5472" w:rsidRDefault="003A0DD2" w:rsidP="003A0DD2">
            <w:pPr>
              <w:spacing w:line="500" w:lineRule="exact"/>
              <w:rPr>
                <w:rFonts w:ascii="仿宋" w:eastAsia="仿宋" w:hAnsi="仿宋"/>
                <w:color w:val="000000" w:themeColor="text1"/>
                <w:sz w:val="24"/>
                <w:szCs w:val="24"/>
              </w:rPr>
            </w:pPr>
            <w:r w:rsidRPr="007B5472">
              <w:rPr>
                <w:rFonts w:ascii="仿宋" w:eastAsia="仿宋" w:hAnsi="仿宋" w:hint="eastAsia"/>
                <w:color w:val="000000" w:themeColor="text1"/>
                <w:sz w:val="24"/>
                <w:szCs w:val="24"/>
              </w:rPr>
              <w:t>相关地域市场：中国。</w:t>
            </w:r>
          </w:p>
          <w:p w14:paraId="08675FCF" w14:textId="0301DFF0" w:rsidR="00CB00DF" w:rsidRPr="007B5472" w:rsidRDefault="003A0DD2" w:rsidP="005D792B">
            <w:pPr>
              <w:spacing w:line="500" w:lineRule="exact"/>
              <w:rPr>
                <w:rFonts w:ascii="仿宋" w:eastAsia="仿宋" w:hAnsi="仿宋" w:cs="宋体"/>
                <w:color w:val="000000" w:themeColor="text1"/>
                <w:kern w:val="0"/>
                <w:sz w:val="24"/>
                <w:szCs w:val="24"/>
                <w:bdr w:val="none" w:sz="0" w:space="0" w:color="auto" w:frame="1"/>
              </w:rPr>
            </w:pPr>
            <w:r w:rsidRPr="007B5472">
              <w:rPr>
                <w:rFonts w:ascii="仿宋" w:eastAsia="仿宋" w:hAnsi="仿宋" w:hint="eastAsia"/>
                <w:color w:val="000000" w:themeColor="text1"/>
                <w:sz w:val="24"/>
                <w:szCs w:val="24"/>
              </w:rPr>
              <w:t>相关市场份额：</w:t>
            </w:r>
            <w:r w:rsidR="005D792B" w:rsidRPr="007B5472">
              <w:rPr>
                <w:rFonts w:ascii="仿宋" w:eastAsia="仿宋" w:hAnsi="仿宋" w:hint="eastAsia"/>
                <w:color w:val="000000" w:themeColor="text1"/>
                <w:sz w:val="24"/>
                <w:szCs w:val="24"/>
              </w:rPr>
              <w:t>10-15%</w:t>
            </w:r>
            <w:r w:rsidRPr="007B5472">
              <w:rPr>
                <w:rFonts w:ascii="仿宋" w:eastAsia="仿宋" w:hAnsi="仿宋" w:hint="eastAsia"/>
                <w:color w:val="000000" w:themeColor="text1"/>
                <w:sz w:val="24"/>
                <w:szCs w:val="24"/>
              </w:rPr>
              <w:t>。</w:t>
            </w:r>
          </w:p>
        </w:tc>
      </w:tr>
    </w:tbl>
    <w:p w14:paraId="449F16C2" w14:textId="77777777" w:rsidR="00CB00DF" w:rsidRPr="007B5472" w:rsidRDefault="00CB00DF" w:rsidP="00CB00DF">
      <w:pPr>
        <w:snapToGrid w:val="0"/>
        <w:spacing w:line="240" w:lineRule="exact"/>
        <w:jc w:val="left"/>
        <w:rPr>
          <w:rFonts w:ascii="楷体_GB2312" w:eastAsia="楷体_GB2312" w:hAnsi="宋体"/>
          <w:color w:val="000000" w:themeColor="text1"/>
          <w:sz w:val="24"/>
          <w:szCs w:val="24"/>
        </w:rPr>
      </w:pPr>
    </w:p>
    <w:p w14:paraId="2638ED77" w14:textId="77777777" w:rsidR="00CB00DF" w:rsidRPr="007B5472" w:rsidRDefault="00CB00DF" w:rsidP="00CB00DF">
      <w:pPr>
        <w:snapToGrid w:val="0"/>
        <w:spacing w:line="240" w:lineRule="exact"/>
        <w:jc w:val="left"/>
        <w:rPr>
          <w:rFonts w:ascii="方正仿宋_GBK" w:eastAsia="方正仿宋_GBK" w:hAnsi="宋体"/>
          <w:color w:val="000000" w:themeColor="text1"/>
          <w:sz w:val="24"/>
          <w:szCs w:val="24"/>
        </w:rPr>
      </w:pPr>
      <w:r w:rsidRPr="007B5472">
        <w:rPr>
          <w:rFonts w:ascii="方正仿宋_GBK" w:eastAsia="方正仿宋_GBK" w:hAnsi="宋体" w:hint="eastAsia"/>
          <w:color w:val="000000" w:themeColor="text1"/>
          <w:sz w:val="24"/>
          <w:szCs w:val="24"/>
        </w:rPr>
        <w:t>注解：</w:t>
      </w:r>
    </w:p>
    <w:p w14:paraId="70FABD21" w14:textId="77777777" w:rsidR="00CB00DF" w:rsidRPr="007B5472" w:rsidRDefault="00CB00DF" w:rsidP="00CB00DF">
      <w:pPr>
        <w:snapToGrid w:val="0"/>
        <w:spacing w:line="360" w:lineRule="auto"/>
        <w:ind w:firstLineChars="200" w:firstLine="480"/>
        <w:jc w:val="left"/>
        <w:rPr>
          <w:rFonts w:ascii="方正仿宋_GBK" w:eastAsia="方正仿宋_GBK" w:hAnsi="宋体"/>
          <w:color w:val="000000" w:themeColor="text1"/>
          <w:sz w:val="24"/>
          <w:szCs w:val="24"/>
        </w:rPr>
      </w:pPr>
      <w:r w:rsidRPr="007B5472">
        <w:rPr>
          <w:rFonts w:ascii="方正仿宋_GBK" w:eastAsia="方正仿宋_GBK" w:hAnsi="宋体" w:hint="eastAsia"/>
          <w:color w:val="000000" w:themeColor="text1"/>
          <w:sz w:val="24"/>
          <w:szCs w:val="24"/>
        </w:rPr>
        <w:t>1.申报方申请简易案件的理由是基于1-3项时，须在备注中说明界定的相关商品市场和相关地域市场（无须阐述界定理由），以及相关市场份额；市场份额可以区间形式提供，区间幅度不应超过5%。1-3项可以多选，也可单选；没有勾选的，视为本集中不涉及该类型交易。</w:t>
      </w:r>
    </w:p>
    <w:p w14:paraId="5E367F17" w14:textId="77777777" w:rsidR="00CB00DF" w:rsidRPr="007B5472" w:rsidRDefault="00CB00DF" w:rsidP="00CB00DF">
      <w:pPr>
        <w:spacing w:line="360" w:lineRule="auto"/>
        <w:ind w:firstLineChars="200" w:firstLine="480"/>
        <w:rPr>
          <w:rFonts w:ascii="方正仿宋_GBK" w:eastAsia="方正仿宋_GBK" w:hAnsi="Times New Roman"/>
          <w:color w:val="000000" w:themeColor="text1"/>
          <w:sz w:val="28"/>
          <w:szCs w:val="28"/>
        </w:rPr>
      </w:pPr>
      <w:r w:rsidRPr="007B5472">
        <w:rPr>
          <w:rFonts w:ascii="方正仿宋_GBK" w:eastAsia="方正仿宋_GBK" w:hAnsi="宋体" w:hint="eastAsia"/>
          <w:color w:val="000000" w:themeColor="text1"/>
          <w:sz w:val="24"/>
          <w:szCs w:val="24"/>
        </w:rPr>
        <w:t>2.申报方申请简易案件的理由是基于第4项、第5项时，无须在备注中说明相关市场和市场份额。</w:t>
      </w:r>
      <w:r w:rsidRPr="007B5472">
        <w:rPr>
          <w:rFonts w:ascii="方正仿宋_GBK" w:eastAsia="方正仿宋_GBK" w:hAnsi="宋体" w:hint="eastAsia"/>
          <w:color w:val="000000" w:themeColor="text1"/>
          <w:sz w:val="24"/>
          <w:szCs w:val="24"/>
        </w:rPr>
        <w:br/>
        <w:t xml:space="preserve">    3.由两个或两个以上经营者共同控制的合营企业，通过集中被其中的一个经营者控制，如果该经营者与合营企业属于同一相关市场的竞争者，则申报方在申请简易案件时，须同时勾选第1项和第6项理由，并在备注中说明界定的相关商品市场和相关地域市场（无须阐述界定理由），以及相关市场份额。市场份额可以区间形式提供，区间幅度不应超过5%。</w:t>
      </w:r>
    </w:p>
    <w:p w14:paraId="6BB688F8" w14:textId="77777777" w:rsidR="00CB00DF" w:rsidRPr="007B5472" w:rsidRDefault="00CB00DF" w:rsidP="00CB00DF">
      <w:pPr>
        <w:rPr>
          <w:color w:val="000000" w:themeColor="text1"/>
        </w:rPr>
      </w:pPr>
    </w:p>
    <w:p w14:paraId="54B17659" w14:textId="77777777" w:rsidR="000F5E24" w:rsidRPr="007B5472" w:rsidRDefault="00944E0A">
      <w:pPr>
        <w:rPr>
          <w:color w:val="000000" w:themeColor="text1"/>
        </w:rPr>
      </w:pPr>
    </w:p>
    <w:sectPr w:rsidR="000F5E24" w:rsidRPr="007B5472" w:rsidSect="00ED21B1">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0945CAEA" w14:textId="77777777" w:rsidR="00944E0A" w:rsidRDefault="00944E0A" w:rsidP="005D792B">
      <w:r>
        <w:separator/>
      </w:r>
    </w:p>
  </w:endnote>
  <w:endnote w:type="continuationSeparator" w:id="0">
    <w:p w14:paraId="1611F9A3" w14:textId="77777777" w:rsidR="00944E0A" w:rsidRDefault="00944E0A" w:rsidP="005D792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等线">
    <w:altName w:val="Arial Unicode MS"/>
    <w:charset w:val="86"/>
    <w:family w:val="auto"/>
    <w:pitch w:val="variable"/>
    <w:sig w:usb0="00000000" w:usb1="38CF7CFA" w:usb2="00000016" w:usb3="00000000" w:csb0="0004000F" w:csb1="00000000"/>
  </w:font>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仿宋_GB2312">
    <w:altName w:val="仿宋"/>
    <w:charset w:val="86"/>
    <w:family w:val="modern"/>
    <w:pitch w:val="default"/>
    <w:sig w:usb0="00000001" w:usb1="080E0000" w:usb2="00000000" w:usb3="00000000" w:csb0="00040000" w:csb1="00000000"/>
  </w:font>
  <w:font w:name="仿宋">
    <w:panose1 w:val="02010609060101010101"/>
    <w:charset w:val="86"/>
    <w:family w:val="modern"/>
    <w:pitch w:val="fixed"/>
    <w:sig w:usb0="800002BF" w:usb1="38CF7CFA" w:usb2="00000016" w:usb3="00000000" w:csb0="00040001" w:csb1="00000000"/>
  </w:font>
  <w:font w:name="Wingdings">
    <w:panose1 w:val="05000000000000000000"/>
    <w:charset w:val="02"/>
    <w:family w:val="auto"/>
    <w:pitch w:val="variable"/>
    <w:sig w:usb0="00000000" w:usb1="10000000" w:usb2="00000000" w:usb3="00000000" w:csb0="80000000" w:csb1="00000000"/>
  </w:font>
  <w:font w:name="楷体_GB2312">
    <w:altName w:val="楷体"/>
    <w:charset w:val="86"/>
    <w:family w:val="modern"/>
    <w:pitch w:val="default"/>
    <w:sig w:usb0="00000000" w:usb1="00000000" w:usb2="00000000" w:usb3="00000000" w:csb0="00040000" w:csb1="00000000"/>
  </w:font>
  <w:font w:name="方正仿宋_GBK">
    <w:altName w:val="微软雅黑"/>
    <w:charset w:val="86"/>
    <w:family w:val="script"/>
    <w:pitch w:val="fixed"/>
    <w:sig w:usb0="00000001" w:usb1="080E0000" w:usb2="00000010" w:usb3="00000000" w:csb0="00040000" w:csb1="00000000"/>
  </w:font>
  <w:font w:name="等线 Light">
    <w:altName w:val="Arial Unicode MS"/>
    <w:charset w:val="86"/>
    <w:family w:val="script"/>
    <w:pitch w:val="variable"/>
    <w:sig w:usb0="00000000" w:usb1="38CF7CFA" w:usb2="00000016" w:usb3="00000000" w:csb0="0004000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17D924B1" w14:textId="77777777" w:rsidR="00944E0A" w:rsidRDefault="00944E0A" w:rsidP="005D792B">
      <w:r>
        <w:separator/>
      </w:r>
    </w:p>
  </w:footnote>
  <w:footnote w:type="continuationSeparator" w:id="0">
    <w:p w14:paraId="2F480499" w14:textId="77777777" w:rsidR="00944E0A" w:rsidRDefault="00944E0A" w:rsidP="005D792B">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5"/>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2"/>
  </w:compat>
  <w:rsids>
    <w:rsidRoot w:val="00CB00DF"/>
    <w:rsid w:val="00037065"/>
    <w:rsid w:val="000D7EBA"/>
    <w:rsid w:val="001164CD"/>
    <w:rsid w:val="00155717"/>
    <w:rsid w:val="001837A3"/>
    <w:rsid w:val="002B6283"/>
    <w:rsid w:val="002E7207"/>
    <w:rsid w:val="003A0DD2"/>
    <w:rsid w:val="003C0AEB"/>
    <w:rsid w:val="003D62D6"/>
    <w:rsid w:val="004A35DF"/>
    <w:rsid w:val="004F7688"/>
    <w:rsid w:val="005D792B"/>
    <w:rsid w:val="006124C6"/>
    <w:rsid w:val="006467D8"/>
    <w:rsid w:val="006A531B"/>
    <w:rsid w:val="006F7693"/>
    <w:rsid w:val="00710140"/>
    <w:rsid w:val="0076592E"/>
    <w:rsid w:val="007B5472"/>
    <w:rsid w:val="007F2275"/>
    <w:rsid w:val="00915F0F"/>
    <w:rsid w:val="00944DA6"/>
    <w:rsid w:val="00944E0A"/>
    <w:rsid w:val="009532DF"/>
    <w:rsid w:val="00997019"/>
    <w:rsid w:val="009A5029"/>
    <w:rsid w:val="009C1E54"/>
    <w:rsid w:val="009D38D5"/>
    <w:rsid w:val="00A53F26"/>
    <w:rsid w:val="00AA0CC5"/>
    <w:rsid w:val="00AE5D8F"/>
    <w:rsid w:val="00B16AFE"/>
    <w:rsid w:val="00B65DD5"/>
    <w:rsid w:val="00B93BBD"/>
    <w:rsid w:val="00BD10B6"/>
    <w:rsid w:val="00C07076"/>
    <w:rsid w:val="00CB00DF"/>
    <w:rsid w:val="00D73C72"/>
    <w:rsid w:val="00E0592B"/>
    <w:rsid w:val="00E31738"/>
    <w:rsid w:val="00E86786"/>
    <w:rsid w:val="00ED2F80"/>
    <w:rsid w:val="00F1624E"/>
    <w:rsid w:val="00F32F8A"/>
    <w:rsid w:val="00F810AA"/>
    <w:rsid w:val="00FB43EC"/>
    <w:rsid w:val="00FB6B40"/>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8423F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CB00DF"/>
    <w:pPr>
      <w:widowControl w:val="0"/>
      <w:jc w:val="both"/>
    </w:pPr>
    <w:rPr>
      <w:rFonts w:ascii="Calibri" w:eastAsia="宋体" w:hAnsi="Calibri" w:cs="Times New Roman"/>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5D792B"/>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a0"/>
    <w:link w:val="a3"/>
    <w:uiPriority w:val="99"/>
    <w:rsid w:val="005D792B"/>
    <w:rPr>
      <w:rFonts w:ascii="Calibri" w:eastAsia="宋体" w:hAnsi="Calibri" w:cs="Times New Roman"/>
      <w:sz w:val="18"/>
      <w:szCs w:val="18"/>
    </w:rPr>
  </w:style>
  <w:style w:type="paragraph" w:styleId="a4">
    <w:name w:val="footer"/>
    <w:basedOn w:val="a"/>
    <w:link w:val="Char0"/>
    <w:uiPriority w:val="99"/>
    <w:unhideWhenUsed/>
    <w:rsid w:val="005D792B"/>
    <w:pPr>
      <w:tabs>
        <w:tab w:val="center" w:pos="4153"/>
        <w:tab w:val="right" w:pos="8306"/>
      </w:tabs>
      <w:snapToGrid w:val="0"/>
      <w:jc w:val="left"/>
    </w:pPr>
    <w:rPr>
      <w:sz w:val="18"/>
      <w:szCs w:val="18"/>
    </w:rPr>
  </w:style>
  <w:style w:type="character" w:customStyle="1" w:styleId="Char0">
    <w:name w:val="页脚 Char"/>
    <w:basedOn w:val="a0"/>
    <w:link w:val="a4"/>
    <w:uiPriority w:val="99"/>
    <w:rsid w:val="005D792B"/>
    <w:rPr>
      <w:rFonts w:ascii="Calibri" w:eastAsia="宋体" w:hAnsi="Calibri" w:cs="Times New Roman"/>
      <w:sz w:val="18"/>
      <w:szCs w:val="1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TotalTime>
  <Pages>2</Pages>
  <Words>175</Words>
  <Characters>1003</Characters>
  <Application>Microsoft Office Word</Application>
  <DocSecurity>0</DocSecurity>
  <Lines>8</Lines>
  <Paragraphs>2</Paragraphs>
  <ScaleCrop>false</ScaleCrop>
  <Company/>
  <LinksUpToDate>false</LinksUpToDate>
  <CharactersWithSpaces>1176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陈媚</dc:creator>
  <cp:lastModifiedBy>admin</cp:lastModifiedBy>
  <cp:revision>7</cp:revision>
  <cp:lastPrinted>2020-06-19T07:37:00Z</cp:lastPrinted>
  <dcterms:created xsi:type="dcterms:W3CDTF">2018-09-29T02:33:00Z</dcterms:created>
  <dcterms:modified xsi:type="dcterms:W3CDTF">2020-06-19T07:37:00Z</dcterms:modified>
</cp:coreProperties>
</file>