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8F4C1D" w14:textId="77777777" w:rsidR="00D92E0B" w:rsidRPr="008A3B57" w:rsidRDefault="00D92E0B" w:rsidP="00D92E0B">
      <w:pPr>
        <w:spacing w:line="440" w:lineRule="exact"/>
        <w:jc w:val="center"/>
        <w:rPr>
          <w:b/>
          <w:sz w:val="22"/>
          <w:szCs w:val="22"/>
        </w:rPr>
      </w:pPr>
      <w:r w:rsidRPr="008A3B57">
        <w:rPr>
          <w:b/>
          <w:sz w:val="22"/>
          <w:szCs w:val="22"/>
        </w:rPr>
        <w:t>经营者集中简易案件公示表</w:t>
      </w: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2591"/>
        <w:gridCol w:w="5103"/>
      </w:tblGrid>
      <w:tr w:rsidR="00D92E0B" w:rsidRPr="00001A6D" w14:paraId="3AE4C0DB" w14:textId="77777777" w:rsidTr="00001A6D">
        <w:trPr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2A67A637" w14:textId="77777777" w:rsidR="00D92E0B" w:rsidRPr="00001A6D" w:rsidRDefault="00D92E0B" w:rsidP="002D0DAF">
            <w:pPr>
              <w:pStyle w:val="BodyText"/>
              <w:jc w:val="left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001A6D">
              <w:rPr>
                <w:rFonts w:cs="Times New Roman"/>
                <w:sz w:val="22"/>
                <w:szCs w:val="22"/>
                <w:lang w:val="en-GB"/>
              </w:rPr>
              <w:t>案件名称</w:t>
            </w:r>
            <w:proofErr w:type="spellEnd"/>
          </w:p>
        </w:tc>
        <w:tc>
          <w:tcPr>
            <w:tcW w:w="7694" w:type="dxa"/>
            <w:gridSpan w:val="2"/>
            <w:shd w:val="clear" w:color="auto" w:fill="auto"/>
          </w:tcPr>
          <w:p w14:paraId="65604FDD" w14:textId="19466D03" w:rsidR="00D92E0B" w:rsidRPr="00001A6D" w:rsidRDefault="00EF2CBF" w:rsidP="007535D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001A6D">
              <w:rPr>
                <w:rFonts w:hint="eastAsia"/>
                <w:sz w:val="22"/>
                <w:szCs w:val="22"/>
              </w:rPr>
              <w:t>璞米第五基金普通合伙有限公司关联方</w:t>
            </w:r>
            <w:r w:rsidR="008457C5">
              <w:rPr>
                <w:rFonts w:hint="eastAsia"/>
                <w:sz w:val="22"/>
                <w:szCs w:val="22"/>
              </w:rPr>
              <w:t>与</w:t>
            </w:r>
            <w:r w:rsidRPr="00001A6D">
              <w:rPr>
                <w:rFonts w:hint="eastAsia"/>
                <w:sz w:val="22"/>
                <w:szCs w:val="22"/>
              </w:rPr>
              <w:t>美国华平投资集团收购</w:t>
            </w:r>
            <w:r w:rsidR="00842DD0" w:rsidRPr="00842DD0">
              <w:rPr>
                <w:rFonts w:hint="eastAsia"/>
                <w:sz w:val="22"/>
                <w:szCs w:val="22"/>
              </w:rPr>
              <w:t>史密斯威廉姆森控股有限公司</w:t>
            </w:r>
            <w:r w:rsidRPr="00001A6D">
              <w:rPr>
                <w:rFonts w:hint="eastAsia"/>
                <w:sz w:val="22"/>
                <w:szCs w:val="22"/>
              </w:rPr>
              <w:t>股权案</w:t>
            </w:r>
            <w:r w:rsidR="007A47AA" w:rsidRPr="00001A6D">
              <w:rPr>
                <w:rFonts w:eastAsiaTheme="majorEastAsia" w:hint="eastAsia"/>
                <w:bCs/>
                <w:noProof/>
                <w:sz w:val="22"/>
                <w:szCs w:val="22"/>
              </w:rPr>
              <w:t>（“</w:t>
            </w:r>
            <w:r w:rsidR="007A47AA" w:rsidRPr="00001A6D">
              <w:rPr>
                <w:rFonts w:eastAsiaTheme="majorEastAsia" w:hint="eastAsia"/>
                <w:b/>
                <w:bCs/>
                <w:noProof/>
                <w:sz w:val="22"/>
                <w:szCs w:val="22"/>
              </w:rPr>
              <w:t>本交易</w:t>
            </w:r>
            <w:r w:rsidR="007A47AA" w:rsidRPr="00001A6D">
              <w:rPr>
                <w:rFonts w:eastAsiaTheme="majorEastAsia" w:hint="eastAsia"/>
                <w:bCs/>
                <w:noProof/>
                <w:sz w:val="22"/>
                <w:szCs w:val="22"/>
              </w:rPr>
              <w:t>”）</w:t>
            </w:r>
          </w:p>
        </w:tc>
      </w:tr>
      <w:tr w:rsidR="00D92E0B" w:rsidRPr="00001A6D" w14:paraId="6A286E1A" w14:textId="77777777" w:rsidTr="00001A6D">
        <w:trPr>
          <w:trHeight w:val="993"/>
          <w:jc w:val="center"/>
        </w:trPr>
        <w:tc>
          <w:tcPr>
            <w:tcW w:w="1940" w:type="dxa"/>
            <w:shd w:val="clear" w:color="auto" w:fill="D9D9D9"/>
          </w:tcPr>
          <w:p w14:paraId="74C756CA" w14:textId="77777777" w:rsidR="00D92E0B" w:rsidRPr="00001A6D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001A6D">
              <w:rPr>
                <w:rFonts w:cs="Times New Roman"/>
                <w:sz w:val="22"/>
                <w:szCs w:val="22"/>
                <w:lang w:val="en-GB" w:eastAsia="zh-CN"/>
              </w:rPr>
              <w:t>交易概况（限</w:t>
            </w:r>
            <w:r w:rsidRPr="00001A6D">
              <w:rPr>
                <w:rFonts w:cs="Times New Roman"/>
                <w:sz w:val="22"/>
                <w:szCs w:val="22"/>
                <w:lang w:val="en-GB" w:eastAsia="zh-CN"/>
              </w:rPr>
              <w:t>200</w:t>
            </w:r>
            <w:r w:rsidRPr="00001A6D">
              <w:rPr>
                <w:rFonts w:cs="Times New Roman"/>
                <w:sz w:val="22"/>
                <w:szCs w:val="22"/>
                <w:lang w:val="en-GB" w:eastAsia="zh-CN"/>
              </w:rPr>
              <w:t>字内）</w:t>
            </w:r>
          </w:p>
        </w:tc>
        <w:tc>
          <w:tcPr>
            <w:tcW w:w="7694" w:type="dxa"/>
            <w:gridSpan w:val="2"/>
            <w:shd w:val="clear" w:color="auto" w:fill="auto"/>
          </w:tcPr>
          <w:p w14:paraId="1E597D4B" w14:textId="7F1CAC2C" w:rsidR="00D92E0B" w:rsidRPr="00001A6D" w:rsidRDefault="00EF2CBF" w:rsidP="00EF2CBF">
            <w:pPr>
              <w:pStyle w:val="General3L3"/>
              <w:numPr>
                <w:ilvl w:val="0"/>
                <w:numId w:val="0"/>
              </w:numPr>
              <w:spacing w:after="120"/>
              <w:rPr>
                <w:rFonts w:cs="Times New Roman"/>
                <w:sz w:val="22"/>
                <w:szCs w:val="22"/>
              </w:rPr>
            </w:pPr>
            <w:r w:rsidRPr="00001A6D">
              <w:rPr>
                <w:rFonts w:hint="eastAsia"/>
                <w:sz w:val="22"/>
                <w:szCs w:val="22"/>
              </w:rPr>
              <w:t>本交易将通过一系列相互关联的交易步骤最终</w:t>
            </w:r>
            <w:r w:rsidR="00CD590A">
              <w:rPr>
                <w:rFonts w:hint="eastAsia"/>
                <w:sz w:val="22"/>
                <w:szCs w:val="22"/>
              </w:rPr>
              <w:t>达成</w:t>
            </w:r>
            <w:r w:rsidRPr="00001A6D">
              <w:rPr>
                <w:rFonts w:hint="eastAsia"/>
                <w:sz w:val="22"/>
                <w:szCs w:val="22"/>
              </w:rPr>
              <w:t>：</w:t>
            </w:r>
            <w:r w:rsidRPr="00001A6D">
              <w:rPr>
                <w:rFonts w:cs="Times New Roman" w:hint="eastAsia"/>
                <w:sz w:val="22"/>
                <w:szCs w:val="22"/>
              </w:rPr>
              <w:t>华平投资管理的基金获得对蒂尔尼（目前被璞米单独控制）的共同控制权；以及</w:t>
            </w:r>
            <w:r w:rsidR="00CD590A">
              <w:rPr>
                <w:rFonts w:cs="Times New Roman" w:hint="eastAsia"/>
                <w:sz w:val="22"/>
                <w:szCs w:val="22"/>
              </w:rPr>
              <w:t>，分别由</w:t>
            </w:r>
            <w:r w:rsidRPr="00001A6D">
              <w:rPr>
                <w:rFonts w:cs="Times New Roman" w:hint="eastAsia"/>
                <w:sz w:val="22"/>
                <w:szCs w:val="22"/>
              </w:rPr>
              <w:t>华平投资管理的基金</w:t>
            </w:r>
            <w:r w:rsidR="00CD590A">
              <w:rPr>
                <w:rFonts w:cs="Times New Roman" w:hint="eastAsia"/>
                <w:sz w:val="22"/>
                <w:szCs w:val="22"/>
              </w:rPr>
              <w:t>和</w:t>
            </w:r>
            <w:r w:rsidRPr="00001A6D">
              <w:rPr>
                <w:rFonts w:cs="Times New Roman" w:hint="eastAsia"/>
                <w:sz w:val="22"/>
                <w:szCs w:val="22"/>
              </w:rPr>
              <w:t>璞米最终控制的基金</w:t>
            </w:r>
            <w:r w:rsidR="00842DD0">
              <w:rPr>
                <w:rFonts w:cs="Times New Roman" w:hint="eastAsia"/>
                <w:sz w:val="22"/>
                <w:szCs w:val="22"/>
              </w:rPr>
              <w:t>将</w:t>
            </w:r>
            <w:r w:rsidRPr="00001A6D">
              <w:rPr>
                <w:rFonts w:cs="Times New Roman" w:hint="eastAsia"/>
                <w:sz w:val="22"/>
                <w:szCs w:val="22"/>
              </w:rPr>
              <w:t>对合并后的蒂尔尼和史密斯</w:t>
            </w:r>
            <w:r w:rsidRPr="00001A6D">
              <w:rPr>
                <w:rFonts w:cs="Times New Roman" w:hint="eastAsia"/>
                <w:sz w:val="22"/>
                <w:szCs w:val="22"/>
              </w:rPr>
              <w:t>&amp;</w:t>
            </w:r>
            <w:r w:rsidRPr="00001A6D">
              <w:rPr>
                <w:rFonts w:cs="Times New Roman" w:hint="eastAsia"/>
                <w:sz w:val="22"/>
                <w:szCs w:val="22"/>
              </w:rPr>
              <w:t>威廉姆森集团（“</w:t>
            </w:r>
            <w:r w:rsidRPr="00001A6D">
              <w:rPr>
                <w:rFonts w:cs="Times New Roman" w:hint="eastAsia"/>
                <w:b/>
                <w:bCs w:val="0"/>
                <w:sz w:val="22"/>
                <w:szCs w:val="22"/>
              </w:rPr>
              <w:t>合并后实体</w:t>
            </w:r>
            <w:r w:rsidRPr="00001A6D">
              <w:rPr>
                <w:rFonts w:cs="Times New Roman" w:hint="eastAsia"/>
                <w:sz w:val="22"/>
                <w:szCs w:val="22"/>
              </w:rPr>
              <w:t>”）间接</w:t>
            </w:r>
            <w:r w:rsidR="00842DD0">
              <w:rPr>
                <w:rFonts w:cs="Times New Roman" w:hint="eastAsia"/>
                <w:sz w:val="22"/>
                <w:szCs w:val="22"/>
              </w:rPr>
              <w:t>行使</w:t>
            </w:r>
            <w:r w:rsidRPr="00001A6D">
              <w:rPr>
                <w:rFonts w:cs="Times New Roman" w:hint="eastAsia"/>
                <w:sz w:val="22"/>
                <w:szCs w:val="22"/>
              </w:rPr>
              <w:t>共同控</w:t>
            </w:r>
            <w:bookmarkStart w:id="0" w:name="_GoBack"/>
            <w:bookmarkEnd w:id="0"/>
            <w:r w:rsidRPr="00001A6D">
              <w:rPr>
                <w:rFonts w:cs="Times New Roman" w:hint="eastAsia"/>
                <w:sz w:val="22"/>
                <w:szCs w:val="22"/>
              </w:rPr>
              <w:t>制权。</w:t>
            </w:r>
          </w:p>
        </w:tc>
      </w:tr>
      <w:tr w:rsidR="00AC0FB8" w:rsidRPr="00001A6D" w14:paraId="27FFF7D4" w14:textId="77777777" w:rsidTr="00001A6D">
        <w:trPr>
          <w:trHeight w:val="1268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C14BCB4" w14:textId="77777777" w:rsidR="00AC0FB8" w:rsidRPr="00001A6D" w:rsidRDefault="00AC0FB8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001A6D">
              <w:rPr>
                <w:rFonts w:cs="Times New Roman"/>
                <w:sz w:val="22"/>
                <w:szCs w:val="22"/>
                <w:lang w:val="en-GB" w:eastAsia="zh-CN"/>
              </w:rPr>
              <w:t>参与集中的经营者简介</w:t>
            </w:r>
          </w:p>
        </w:tc>
        <w:tc>
          <w:tcPr>
            <w:tcW w:w="2591" w:type="dxa"/>
            <w:shd w:val="clear" w:color="auto" w:fill="auto"/>
          </w:tcPr>
          <w:p w14:paraId="32981664" w14:textId="07A375EF" w:rsidR="00AC0FB8" w:rsidRPr="00001A6D" w:rsidRDefault="00AC0FB8" w:rsidP="007535D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001A6D">
              <w:rPr>
                <w:rFonts w:asciiTheme="majorBidi" w:hAnsiTheme="majorBidi" w:cstheme="majorBidi" w:hint="eastAsia"/>
                <w:sz w:val="22"/>
                <w:szCs w:val="22"/>
              </w:rPr>
              <w:t>1</w:t>
            </w:r>
            <w:r w:rsidRPr="00001A6D">
              <w:rPr>
                <w:rFonts w:asciiTheme="majorBidi" w:hAnsiTheme="majorBidi" w:cstheme="majorBidi" w:hint="eastAsia"/>
                <w:sz w:val="22"/>
                <w:szCs w:val="22"/>
              </w:rPr>
              <w:t>、</w:t>
            </w:r>
            <w:r w:rsidRPr="00001A6D">
              <w:rPr>
                <w:rFonts w:hint="eastAsia"/>
                <w:sz w:val="22"/>
                <w:szCs w:val="22"/>
              </w:rPr>
              <w:t>璞米第五基金普通合伙有限公司</w:t>
            </w:r>
            <w:r w:rsidRPr="00001A6D">
              <w:rPr>
                <w:rFonts w:asciiTheme="majorBidi" w:hAnsiTheme="majorBidi" w:cstheme="majorBidi" w:hint="eastAsia"/>
                <w:sz w:val="22"/>
                <w:szCs w:val="22"/>
              </w:rPr>
              <w:t>（“</w:t>
            </w:r>
            <w:r w:rsidRPr="00001A6D">
              <w:rPr>
                <w:rFonts w:asciiTheme="majorBidi" w:hAnsiTheme="majorBidi" w:cstheme="majorBidi" w:hint="eastAsia"/>
                <w:b/>
                <w:bCs/>
                <w:sz w:val="22"/>
                <w:szCs w:val="22"/>
              </w:rPr>
              <w:t>璞米第五基金</w:t>
            </w:r>
            <w:r w:rsidRPr="00001A6D">
              <w:rPr>
                <w:rFonts w:asciiTheme="majorBidi" w:hAnsiTheme="majorBidi" w:cstheme="majorBidi" w:hint="eastAsia"/>
                <w:sz w:val="22"/>
                <w:szCs w:val="22"/>
              </w:rPr>
              <w:t>”）</w:t>
            </w:r>
          </w:p>
        </w:tc>
        <w:tc>
          <w:tcPr>
            <w:tcW w:w="5103" w:type="dxa"/>
            <w:shd w:val="clear" w:color="auto" w:fill="auto"/>
          </w:tcPr>
          <w:p w14:paraId="4D16C5E0" w14:textId="2337D8A9" w:rsidR="00AC0FB8" w:rsidRPr="00001A6D" w:rsidRDefault="00AC0FB8" w:rsidP="00001A6D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 w:rsidRPr="00001A6D">
              <w:rPr>
                <w:rFonts w:asciiTheme="majorBidi" w:hAnsiTheme="majorBidi" w:cstheme="majorBidi" w:hint="eastAsia"/>
                <w:bCs/>
                <w:sz w:val="22"/>
                <w:szCs w:val="22"/>
              </w:rPr>
              <w:t>璞米第</w:t>
            </w:r>
            <w:r>
              <w:rPr>
                <w:rFonts w:asciiTheme="majorBidi" w:hAnsiTheme="majorBidi" w:cstheme="majorBidi" w:hint="eastAsia"/>
                <w:bCs/>
                <w:sz w:val="22"/>
                <w:szCs w:val="22"/>
              </w:rPr>
              <w:t>五</w:t>
            </w:r>
            <w:r w:rsidRPr="00001A6D">
              <w:rPr>
                <w:rFonts w:asciiTheme="majorBidi" w:hAnsiTheme="majorBidi" w:cstheme="majorBidi" w:hint="eastAsia"/>
                <w:bCs/>
                <w:sz w:val="22"/>
                <w:szCs w:val="22"/>
              </w:rPr>
              <w:t>基金</w:t>
            </w:r>
            <w:r>
              <w:rPr>
                <w:rFonts w:asciiTheme="majorBidi" w:hAnsiTheme="majorBidi" w:cstheme="majorBidi" w:hint="eastAsia"/>
                <w:bCs/>
                <w:sz w:val="22"/>
                <w:szCs w:val="22"/>
              </w:rPr>
              <w:t>最终由</w:t>
            </w:r>
            <w:r w:rsidRPr="00001A6D">
              <w:rPr>
                <w:rFonts w:asciiTheme="majorBidi" w:hAnsiTheme="majorBidi" w:cstheme="majorBidi" w:hint="eastAsia"/>
                <w:bCs/>
                <w:sz w:val="22"/>
                <w:szCs w:val="22"/>
                <w:lang w:val="en-US"/>
              </w:rPr>
              <w:t>璞米控股有限公司（“</w:t>
            </w:r>
            <w:r w:rsidRPr="00001A6D">
              <w:rPr>
                <w:rFonts w:asciiTheme="majorBidi" w:hAnsiTheme="majorBidi" w:cstheme="majorBidi" w:hint="eastAsia"/>
                <w:b/>
                <w:sz w:val="22"/>
                <w:szCs w:val="22"/>
                <w:lang w:val="en-US"/>
              </w:rPr>
              <w:t>璞米</w:t>
            </w:r>
            <w:r w:rsidRPr="00001A6D">
              <w:rPr>
                <w:rFonts w:asciiTheme="majorBidi" w:hAnsiTheme="majorBidi" w:cstheme="majorBidi" w:hint="eastAsia"/>
                <w:bCs/>
                <w:sz w:val="22"/>
                <w:szCs w:val="22"/>
                <w:lang w:val="en-US"/>
              </w:rPr>
              <w:t>”）</w:t>
            </w:r>
            <w:r>
              <w:rPr>
                <w:rFonts w:asciiTheme="majorBidi" w:hAnsiTheme="majorBidi" w:cstheme="majorBidi" w:hint="eastAsia"/>
                <w:bCs/>
                <w:sz w:val="22"/>
                <w:szCs w:val="22"/>
                <w:lang w:val="en-US"/>
              </w:rPr>
              <w:t>控制</w:t>
            </w:r>
            <w:r w:rsidRPr="00001A6D">
              <w:rPr>
                <w:rFonts w:asciiTheme="majorBidi" w:hAnsiTheme="majorBidi" w:cstheme="majorBidi" w:hint="eastAsia"/>
                <w:bCs/>
                <w:sz w:val="22"/>
                <w:szCs w:val="22"/>
              </w:rPr>
              <w:t>。</w:t>
            </w:r>
            <w:r w:rsidRPr="00001A6D">
              <w:rPr>
                <w:rFonts w:hint="eastAsia"/>
                <w:sz w:val="22"/>
                <w:szCs w:val="22"/>
              </w:rPr>
              <w:t>璞米是一家私募股权公司，向多家投资基金提供投资管理服务。璞米控制</w:t>
            </w:r>
            <w:r>
              <w:rPr>
                <w:rFonts w:hint="eastAsia"/>
                <w:sz w:val="22"/>
                <w:szCs w:val="22"/>
              </w:rPr>
              <w:t>多家</w:t>
            </w:r>
            <w:r w:rsidRPr="00001A6D">
              <w:rPr>
                <w:rFonts w:hint="eastAsia"/>
                <w:sz w:val="22"/>
                <w:szCs w:val="22"/>
              </w:rPr>
              <w:t>投资组合公司，</w:t>
            </w:r>
            <w:r w:rsidRPr="00001A6D">
              <w:rPr>
                <w:rFonts w:hint="eastAsia"/>
                <w:sz w:val="22"/>
                <w:szCs w:val="22"/>
              </w:rPr>
              <w:t xml:space="preserve"> </w:t>
            </w:r>
            <w:r w:rsidRPr="00001A6D">
              <w:rPr>
                <w:rFonts w:hint="eastAsia"/>
                <w:sz w:val="22"/>
                <w:szCs w:val="22"/>
              </w:rPr>
              <w:t>该等投资组合公司在</w:t>
            </w:r>
            <w:r>
              <w:rPr>
                <w:rFonts w:hint="eastAsia"/>
                <w:sz w:val="22"/>
                <w:szCs w:val="22"/>
              </w:rPr>
              <w:t>众多</w:t>
            </w:r>
            <w:r w:rsidRPr="00001A6D">
              <w:rPr>
                <w:rFonts w:hint="eastAsia"/>
                <w:sz w:val="22"/>
                <w:szCs w:val="22"/>
              </w:rPr>
              <w:t>司法辖区与行业开展业务活动。</w:t>
            </w:r>
          </w:p>
          <w:p w14:paraId="7DE3D219" w14:textId="1DA8C4D0" w:rsidR="00AC0FB8" w:rsidRPr="00001A6D" w:rsidRDefault="00AC0FB8" w:rsidP="00001A6D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Cs/>
                <w:sz w:val="22"/>
                <w:szCs w:val="22"/>
              </w:rPr>
            </w:pPr>
            <w:r w:rsidRPr="00001A6D">
              <w:rPr>
                <w:rFonts w:asciiTheme="majorBidi" w:hAnsiTheme="majorBidi" w:cstheme="majorBidi" w:hint="eastAsia"/>
                <w:bCs/>
                <w:sz w:val="22"/>
                <w:szCs w:val="22"/>
              </w:rPr>
              <w:t>有关璞米的进一步信息请见</w:t>
            </w:r>
            <w:r w:rsidR="00842DD0">
              <w:fldChar w:fldCharType="begin"/>
            </w:r>
            <w:r w:rsidR="00842DD0">
              <w:instrText xml:space="preserve"> HYPERLINK "http://www.permira.com" </w:instrText>
            </w:r>
            <w:r w:rsidR="00842DD0">
              <w:fldChar w:fldCharType="separate"/>
            </w:r>
            <w:r w:rsidRPr="00001A6D">
              <w:rPr>
                <w:rStyle w:val="Hyperlink"/>
                <w:rFonts w:asciiTheme="majorBidi" w:hAnsiTheme="majorBidi" w:cstheme="majorBidi"/>
                <w:bCs/>
                <w:sz w:val="22"/>
                <w:szCs w:val="22"/>
              </w:rPr>
              <w:t>www.permira.com</w:t>
            </w:r>
            <w:r w:rsidR="00842DD0">
              <w:rPr>
                <w:rStyle w:val="Hyperlink"/>
                <w:rFonts w:asciiTheme="majorBidi" w:hAnsiTheme="majorBidi" w:cstheme="majorBidi"/>
                <w:bCs/>
                <w:sz w:val="22"/>
                <w:szCs w:val="22"/>
              </w:rPr>
              <w:fldChar w:fldCharType="end"/>
            </w:r>
            <w:r w:rsidRPr="00001A6D">
              <w:rPr>
                <w:rFonts w:asciiTheme="majorBidi" w:hAnsiTheme="majorBidi" w:cstheme="majorBidi" w:hint="eastAsia"/>
                <w:bCs/>
                <w:sz w:val="22"/>
                <w:szCs w:val="22"/>
              </w:rPr>
              <w:t>。</w:t>
            </w:r>
          </w:p>
        </w:tc>
      </w:tr>
      <w:tr w:rsidR="00AC0FB8" w:rsidRPr="00001A6D" w14:paraId="6D02F31F" w14:textId="77777777" w:rsidTr="00001A6D">
        <w:trPr>
          <w:trHeight w:val="1441"/>
          <w:jc w:val="center"/>
        </w:trPr>
        <w:tc>
          <w:tcPr>
            <w:tcW w:w="1940" w:type="dxa"/>
            <w:vMerge/>
            <w:shd w:val="clear" w:color="auto" w:fill="D9D9D9"/>
          </w:tcPr>
          <w:p w14:paraId="21D3457A" w14:textId="77777777" w:rsidR="00AC0FB8" w:rsidRPr="00001A6D" w:rsidRDefault="00AC0FB8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2591" w:type="dxa"/>
            <w:shd w:val="clear" w:color="auto" w:fill="auto"/>
          </w:tcPr>
          <w:p w14:paraId="411D1B68" w14:textId="0807E690" w:rsidR="00AC0FB8" w:rsidRPr="00001A6D" w:rsidRDefault="00AC0FB8" w:rsidP="007535D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001A6D">
              <w:rPr>
                <w:rFonts w:asciiTheme="majorBidi" w:hAnsiTheme="majorBidi" w:cstheme="majorBidi" w:hint="eastAsia"/>
                <w:sz w:val="22"/>
                <w:szCs w:val="22"/>
              </w:rPr>
              <w:t>2</w:t>
            </w:r>
            <w:r w:rsidRPr="00001A6D">
              <w:rPr>
                <w:rFonts w:asciiTheme="majorBidi" w:hAnsiTheme="majorBidi" w:cstheme="majorBidi" w:hint="eastAsia"/>
                <w:sz w:val="22"/>
                <w:szCs w:val="22"/>
              </w:rPr>
              <w:t>、美国华平投资集团（“</w:t>
            </w:r>
            <w:r w:rsidRPr="00001A6D">
              <w:rPr>
                <w:rFonts w:asciiTheme="majorBidi" w:hAnsiTheme="majorBidi" w:cstheme="majorBidi" w:hint="eastAsia"/>
                <w:b/>
                <w:bCs/>
                <w:sz w:val="22"/>
                <w:szCs w:val="22"/>
              </w:rPr>
              <w:t>华平投资</w:t>
            </w:r>
            <w:r w:rsidRPr="00001A6D">
              <w:rPr>
                <w:rFonts w:asciiTheme="majorBidi" w:hAnsiTheme="majorBidi" w:cstheme="majorBidi" w:hint="eastAsia"/>
                <w:sz w:val="22"/>
                <w:szCs w:val="22"/>
              </w:rPr>
              <w:t>”）</w:t>
            </w:r>
          </w:p>
        </w:tc>
        <w:tc>
          <w:tcPr>
            <w:tcW w:w="5103" w:type="dxa"/>
            <w:shd w:val="clear" w:color="auto" w:fill="auto"/>
          </w:tcPr>
          <w:p w14:paraId="09294F33" w14:textId="3B18DD0E" w:rsidR="00AC0FB8" w:rsidRPr="00001A6D" w:rsidRDefault="00AC0FB8" w:rsidP="00001A6D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001A6D">
              <w:rPr>
                <w:rFonts w:hint="eastAsia"/>
                <w:sz w:val="22"/>
                <w:szCs w:val="22"/>
              </w:rPr>
              <w:t>华平投资是一家私募股权投资公司，私募股权投资是华平投资在全世界范围内的唯一业务。</w:t>
            </w:r>
          </w:p>
          <w:p w14:paraId="6FECDDB9" w14:textId="658B25A8" w:rsidR="00AC0FB8" w:rsidRPr="00001A6D" w:rsidRDefault="00AC0FB8" w:rsidP="00001A6D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 w:rsidRPr="00001A6D">
              <w:rPr>
                <w:rFonts w:hint="eastAsia"/>
                <w:sz w:val="22"/>
                <w:szCs w:val="22"/>
              </w:rPr>
              <w:t>有关华平投资业务的进一步信息，请参见其网站：</w:t>
            </w:r>
            <w:r w:rsidRPr="00001A6D">
              <w:rPr>
                <w:rStyle w:val="Hyperlink"/>
                <w:rFonts w:asciiTheme="majorBidi" w:hAnsiTheme="majorBidi" w:cstheme="majorBidi" w:hint="eastAsia"/>
                <w:bCs/>
              </w:rPr>
              <w:t>www.warburgpincus.com</w:t>
            </w:r>
            <w:r w:rsidRPr="00001A6D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AC0FB8" w:rsidRPr="00001A6D" w14:paraId="1BE3462E" w14:textId="77777777" w:rsidTr="00001A6D">
        <w:trPr>
          <w:trHeight w:val="1441"/>
          <w:jc w:val="center"/>
        </w:trPr>
        <w:tc>
          <w:tcPr>
            <w:tcW w:w="1940" w:type="dxa"/>
            <w:vMerge/>
            <w:shd w:val="clear" w:color="auto" w:fill="D9D9D9"/>
          </w:tcPr>
          <w:p w14:paraId="28229B2E" w14:textId="77777777" w:rsidR="00AC0FB8" w:rsidRPr="00001A6D" w:rsidRDefault="00AC0FB8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2591" w:type="dxa"/>
            <w:shd w:val="clear" w:color="auto" w:fill="auto"/>
          </w:tcPr>
          <w:p w14:paraId="52A7F319" w14:textId="49A91DE0" w:rsidR="00AC0FB8" w:rsidRPr="00001A6D" w:rsidRDefault="00AC0FB8" w:rsidP="007535D1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001A6D">
              <w:rPr>
                <w:rFonts w:hint="eastAsia"/>
                <w:sz w:val="22"/>
                <w:szCs w:val="22"/>
              </w:rPr>
              <w:t>3</w:t>
            </w:r>
            <w:r w:rsidRPr="00001A6D">
              <w:rPr>
                <w:rFonts w:hint="eastAsia"/>
                <w:sz w:val="22"/>
                <w:szCs w:val="22"/>
              </w:rPr>
              <w:t>、蒂尔尼集团有限公司（“</w:t>
            </w:r>
            <w:r w:rsidRPr="00001A6D">
              <w:rPr>
                <w:rFonts w:hint="eastAsia"/>
                <w:b/>
                <w:bCs/>
                <w:sz w:val="22"/>
                <w:szCs w:val="22"/>
              </w:rPr>
              <w:t>蒂尔尼</w:t>
            </w:r>
            <w:r w:rsidRPr="00001A6D">
              <w:rPr>
                <w:rFonts w:hint="eastAsia"/>
                <w:sz w:val="22"/>
                <w:szCs w:val="22"/>
              </w:rPr>
              <w:t>”）</w:t>
            </w:r>
          </w:p>
        </w:tc>
        <w:tc>
          <w:tcPr>
            <w:tcW w:w="5103" w:type="dxa"/>
            <w:shd w:val="clear" w:color="auto" w:fill="auto"/>
          </w:tcPr>
          <w:p w14:paraId="1025F98D" w14:textId="77EBED64" w:rsidR="00AC0FB8" w:rsidRPr="00001A6D" w:rsidRDefault="00AC0FB8" w:rsidP="00001A6D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001A6D">
              <w:rPr>
                <w:rFonts w:hint="eastAsia"/>
                <w:sz w:val="22"/>
                <w:szCs w:val="22"/>
              </w:rPr>
              <w:t>蒂尔尼是一家总部位于伦敦的财富管理公司，在英国各地设有办公室。蒂尔尼控制的业务不在中国开展活动或产生营业额。</w:t>
            </w:r>
          </w:p>
        </w:tc>
      </w:tr>
      <w:tr w:rsidR="00AC0FB8" w:rsidRPr="00001A6D" w14:paraId="6FA754D0" w14:textId="77777777" w:rsidTr="00001A6D">
        <w:trPr>
          <w:trHeight w:val="1441"/>
          <w:jc w:val="center"/>
        </w:trPr>
        <w:tc>
          <w:tcPr>
            <w:tcW w:w="1940" w:type="dxa"/>
            <w:vMerge/>
            <w:shd w:val="clear" w:color="auto" w:fill="D9D9D9"/>
          </w:tcPr>
          <w:p w14:paraId="19227E92" w14:textId="77777777" w:rsidR="00AC0FB8" w:rsidRPr="00001A6D" w:rsidRDefault="00AC0FB8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2591" w:type="dxa"/>
            <w:shd w:val="clear" w:color="auto" w:fill="auto"/>
          </w:tcPr>
          <w:p w14:paraId="5B5E6288" w14:textId="35CB5618" w:rsidR="00AC0FB8" w:rsidRPr="00001A6D" w:rsidRDefault="00AC0FB8" w:rsidP="007535D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001A6D">
              <w:rPr>
                <w:rFonts w:hint="eastAsia"/>
                <w:sz w:val="22"/>
                <w:szCs w:val="22"/>
              </w:rPr>
              <w:t>4</w:t>
            </w:r>
            <w:r w:rsidRPr="00001A6D">
              <w:rPr>
                <w:rFonts w:hint="eastAsia"/>
                <w:sz w:val="22"/>
                <w:szCs w:val="22"/>
              </w:rPr>
              <w:t>、</w:t>
            </w:r>
            <w:r w:rsidRPr="00001A6D">
              <w:rPr>
                <w:sz w:val="22"/>
                <w:szCs w:val="22"/>
              </w:rPr>
              <w:t>史密斯</w:t>
            </w:r>
            <w:r w:rsidRPr="00001A6D">
              <w:rPr>
                <w:sz w:val="22"/>
                <w:szCs w:val="22"/>
              </w:rPr>
              <w:t>&amp;</w:t>
            </w:r>
            <w:r w:rsidRPr="00001A6D">
              <w:rPr>
                <w:sz w:val="22"/>
                <w:szCs w:val="22"/>
              </w:rPr>
              <w:t>威廉姆森</w:t>
            </w:r>
            <w:r w:rsidRPr="00001A6D">
              <w:rPr>
                <w:rFonts w:hint="eastAsia"/>
                <w:sz w:val="22"/>
                <w:szCs w:val="22"/>
              </w:rPr>
              <w:t>控股有限公司（“</w:t>
            </w:r>
            <w:r w:rsidRPr="00001A6D">
              <w:rPr>
                <w:rFonts w:hint="eastAsia"/>
                <w:b/>
                <w:bCs/>
                <w:sz w:val="22"/>
                <w:szCs w:val="22"/>
              </w:rPr>
              <w:t>史密斯</w:t>
            </w:r>
            <w:r w:rsidRPr="00001A6D">
              <w:rPr>
                <w:rFonts w:hint="eastAsia"/>
                <w:b/>
                <w:bCs/>
                <w:sz w:val="22"/>
                <w:szCs w:val="22"/>
              </w:rPr>
              <w:t>&amp;</w:t>
            </w:r>
            <w:r w:rsidRPr="00001A6D">
              <w:rPr>
                <w:rFonts w:hint="eastAsia"/>
                <w:b/>
                <w:bCs/>
                <w:sz w:val="22"/>
                <w:szCs w:val="22"/>
              </w:rPr>
              <w:t>威廉姆森</w:t>
            </w:r>
            <w:r w:rsidRPr="00001A6D">
              <w:rPr>
                <w:rFonts w:hint="eastAsia"/>
                <w:sz w:val="22"/>
                <w:szCs w:val="22"/>
              </w:rPr>
              <w:t>”）</w:t>
            </w:r>
          </w:p>
        </w:tc>
        <w:tc>
          <w:tcPr>
            <w:tcW w:w="5103" w:type="dxa"/>
            <w:shd w:val="clear" w:color="auto" w:fill="auto"/>
          </w:tcPr>
          <w:p w14:paraId="4EF6DDC9" w14:textId="54B2ABE9" w:rsidR="00AC0FB8" w:rsidRPr="00001A6D" w:rsidRDefault="00AC0FB8" w:rsidP="00001A6D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001A6D">
              <w:rPr>
                <w:rFonts w:hint="eastAsia"/>
                <w:sz w:val="22"/>
                <w:szCs w:val="22"/>
              </w:rPr>
              <w:t>史密斯</w:t>
            </w:r>
            <w:r w:rsidRPr="00001A6D">
              <w:rPr>
                <w:rFonts w:hint="eastAsia"/>
                <w:sz w:val="22"/>
                <w:szCs w:val="22"/>
              </w:rPr>
              <w:t>&amp;</w:t>
            </w:r>
            <w:r w:rsidRPr="00001A6D">
              <w:rPr>
                <w:rFonts w:hint="eastAsia"/>
                <w:sz w:val="22"/>
                <w:szCs w:val="22"/>
              </w:rPr>
              <w:t>威廉姆森是一家总部位于伦敦的独立英国金融和专业服务公司，在英国</w:t>
            </w:r>
            <w:r>
              <w:rPr>
                <w:rFonts w:hint="eastAsia"/>
                <w:sz w:val="22"/>
                <w:szCs w:val="22"/>
              </w:rPr>
              <w:t>、泽西岛</w:t>
            </w:r>
            <w:r w:rsidRPr="00001A6D">
              <w:rPr>
                <w:rFonts w:hint="eastAsia"/>
                <w:sz w:val="22"/>
                <w:szCs w:val="22"/>
              </w:rPr>
              <w:t>和爱尔兰设有办公室。史密斯</w:t>
            </w:r>
            <w:r w:rsidRPr="00001A6D">
              <w:rPr>
                <w:rFonts w:hint="eastAsia"/>
                <w:sz w:val="22"/>
                <w:szCs w:val="22"/>
              </w:rPr>
              <w:t>&amp;</w:t>
            </w:r>
            <w:r w:rsidRPr="00001A6D">
              <w:rPr>
                <w:rFonts w:hint="eastAsia"/>
                <w:sz w:val="22"/>
                <w:szCs w:val="22"/>
              </w:rPr>
              <w:t>威廉姆森控制的业务不在中国开展活动或产生营业额。</w:t>
            </w:r>
          </w:p>
        </w:tc>
      </w:tr>
      <w:tr w:rsidR="00D92E0B" w:rsidRPr="00001A6D" w14:paraId="0722B00D" w14:textId="77777777" w:rsidTr="00001A6D">
        <w:trPr>
          <w:trHeight w:val="279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535E247" w14:textId="77777777" w:rsidR="00D92E0B" w:rsidRPr="00001A6D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001A6D">
              <w:rPr>
                <w:rFonts w:cs="Times New Roman"/>
                <w:sz w:val="22"/>
                <w:szCs w:val="22"/>
                <w:lang w:val="en-GB" w:eastAsia="zh-CN"/>
              </w:rPr>
              <w:t>简易案件理由（可以单选，也可以多选）</w:t>
            </w:r>
          </w:p>
        </w:tc>
        <w:tc>
          <w:tcPr>
            <w:tcW w:w="7694" w:type="dxa"/>
            <w:gridSpan w:val="2"/>
            <w:shd w:val="clear" w:color="auto" w:fill="auto"/>
          </w:tcPr>
          <w:p w14:paraId="1F367491" w14:textId="76133326" w:rsidR="00D92E0B" w:rsidRPr="00001A6D" w:rsidRDefault="00DC1875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001A6D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001A6D">
              <w:rPr>
                <w:rFonts w:cs="Times New Roman"/>
                <w:sz w:val="22"/>
                <w:szCs w:val="22"/>
                <w:lang w:val="en-GB" w:eastAsia="zh-CN"/>
              </w:rPr>
              <w:t xml:space="preserve"> 1</w:t>
            </w:r>
            <w:r w:rsidR="00D92E0B" w:rsidRPr="00001A6D">
              <w:rPr>
                <w:rFonts w:cs="Times New Roman"/>
                <w:sz w:val="22"/>
                <w:szCs w:val="22"/>
                <w:lang w:val="en-GB" w:eastAsia="zh-CN"/>
              </w:rPr>
              <w:t>、在同一相关市场，所有参与集中的经营者所占市场份额之和小于</w:t>
            </w:r>
            <w:r w:rsidR="00D92E0B" w:rsidRPr="00001A6D">
              <w:rPr>
                <w:rFonts w:cs="Times New Roman"/>
                <w:sz w:val="22"/>
                <w:szCs w:val="22"/>
                <w:lang w:val="en-GB" w:eastAsia="zh-CN"/>
              </w:rPr>
              <w:t>15%</w:t>
            </w:r>
            <w:r w:rsidR="00D92E0B" w:rsidRPr="00001A6D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001A6D" w14:paraId="6A1E8F43" w14:textId="77777777" w:rsidTr="00001A6D">
        <w:trPr>
          <w:trHeight w:val="330"/>
          <w:jc w:val="center"/>
        </w:trPr>
        <w:tc>
          <w:tcPr>
            <w:tcW w:w="1940" w:type="dxa"/>
            <w:vMerge/>
            <w:shd w:val="clear" w:color="auto" w:fill="D9D9D9"/>
          </w:tcPr>
          <w:p w14:paraId="58C8A03D" w14:textId="77777777" w:rsidR="00D92E0B" w:rsidRPr="00001A6D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694" w:type="dxa"/>
            <w:gridSpan w:val="2"/>
            <w:shd w:val="clear" w:color="auto" w:fill="auto"/>
          </w:tcPr>
          <w:p w14:paraId="23B822DF" w14:textId="33C5151B" w:rsidR="00D92E0B" w:rsidRPr="00001A6D" w:rsidRDefault="00705E85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001A6D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001A6D">
              <w:rPr>
                <w:rFonts w:cs="Times New Roman" w:hint="eastAsia"/>
                <w:sz w:val="22"/>
                <w:szCs w:val="22"/>
                <w:lang w:val="en-GB" w:eastAsia="zh-CN"/>
              </w:rPr>
              <w:t xml:space="preserve"> </w:t>
            </w:r>
            <w:r w:rsidR="00D92E0B" w:rsidRPr="00001A6D">
              <w:rPr>
                <w:rFonts w:cs="Times New Roman"/>
                <w:sz w:val="22"/>
                <w:szCs w:val="22"/>
                <w:lang w:val="en-GB" w:eastAsia="zh-CN"/>
              </w:rPr>
              <w:t>2</w:t>
            </w:r>
            <w:r w:rsidR="00D92E0B" w:rsidRPr="00001A6D">
              <w:rPr>
                <w:rFonts w:cs="Times New Roman"/>
                <w:sz w:val="22"/>
                <w:szCs w:val="22"/>
                <w:lang w:val="en-GB" w:eastAsia="zh-CN"/>
              </w:rPr>
              <w:t>、存在上下游关系的参与集中的经营者，在上下游市场所占的市场份额均小于</w:t>
            </w:r>
            <w:r w:rsidR="00D92E0B" w:rsidRPr="00001A6D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="00D92E0B" w:rsidRPr="00001A6D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001A6D" w14:paraId="4C8D7BAF" w14:textId="77777777" w:rsidTr="00001A6D">
        <w:trPr>
          <w:trHeight w:val="285"/>
          <w:jc w:val="center"/>
        </w:trPr>
        <w:tc>
          <w:tcPr>
            <w:tcW w:w="1940" w:type="dxa"/>
            <w:vMerge/>
            <w:shd w:val="clear" w:color="auto" w:fill="D9D9D9"/>
          </w:tcPr>
          <w:p w14:paraId="316AFDC5" w14:textId="77777777" w:rsidR="00D92E0B" w:rsidRPr="00001A6D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694" w:type="dxa"/>
            <w:gridSpan w:val="2"/>
            <w:shd w:val="clear" w:color="auto" w:fill="auto"/>
          </w:tcPr>
          <w:p w14:paraId="70962EC7" w14:textId="263084AF" w:rsidR="00D92E0B" w:rsidRPr="00001A6D" w:rsidRDefault="00001A6D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001A6D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001A6D">
              <w:rPr>
                <w:rFonts w:cs="Times New Roman"/>
                <w:sz w:val="22"/>
                <w:szCs w:val="22"/>
                <w:lang w:val="en-GB" w:eastAsia="zh-CN"/>
              </w:rPr>
              <w:t xml:space="preserve"> 3</w:t>
            </w:r>
            <w:r w:rsidR="00D92E0B" w:rsidRPr="00001A6D">
              <w:rPr>
                <w:rFonts w:cs="Times New Roman"/>
                <w:sz w:val="22"/>
                <w:szCs w:val="22"/>
                <w:lang w:val="en-GB" w:eastAsia="zh-CN"/>
              </w:rPr>
              <w:t>、不在同一相关市场、也不存在上下游关系的参与集中的经营者，在与交易有关的每个市场所占的份额均小于</w:t>
            </w:r>
            <w:r w:rsidR="00D92E0B" w:rsidRPr="00001A6D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="00D92E0B" w:rsidRPr="00001A6D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001A6D" w14:paraId="28478B8F" w14:textId="77777777" w:rsidTr="00001A6D">
        <w:trPr>
          <w:trHeight w:val="870"/>
          <w:jc w:val="center"/>
        </w:trPr>
        <w:tc>
          <w:tcPr>
            <w:tcW w:w="1940" w:type="dxa"/>
            <w:vMerge/>
            <w:shd w:val="clear" w:color="auto" w:fill="D9D9D9"/>
          </w:tcPr>
          <w:p w14:paraId="6ACEB7EC" w14:textId="77777777" w:rsidR="00D92E0B" w:rsidRPr="00001A6D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694" w:type="dxa"/>
            <w:gridSpan w:val="2"/>
            <w:shd w:val="clear" w:color="auto" w:fill="auto"/>
          </w:tcPr>
          <w:p w14:paraId="1772C04A" w14:textId="59675D30" w:rsidR="00D92E0B" w:rsidRPr="00001A6D" w:rsidRDefault="00705E85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001A6D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001A6D">
              <w:rPr>
                <w:rFonts w:cs="Times New Roman"/>
                <w:sz w:val="22"/>
                <w:szCs w:val="22"/>
                <w:lang w:val="en-GB" w:eastAsia="zh-CN"/>
              </w:rPr>
              <w:t xml:space="preserve"> 4</w:t>
            </w:r>
            <w:r w:rsidR="00D92E0B" w:rsidRPr="00001A6D">
              <w:rPr>
                <w:rFonts w:cs="Times New Roman"/>
                <w:sz w:val="22"/>
                <w:szCs w:val="22"/>
                <w:lang w:val="en-GB" w:eastAsia="zh-CN"/>
              </w:rPr>
              <w:t>、参与集中的经营者在中国境外设立合营企业，合营企业不在中国境内从事经济活动。</w:t>
            </w:r>
          </w:p>
        </w:tc>
      </w:tr>
      <w:tr w:rsidR="00D92E0B" w:rsidRPr="00001A6D" w14:paraId="1243D2A5" w14:textId="77777777" w:rsidTr="00001A6D">
        <w:trPr>
          <w:trHeight w:val="264"/>
          <w:jc w:val="center"/>
        </w:trPr>
        <w:tc>
          <w:tcPr>
            <w:tcW w:w="1940" w:type="dxa"/>
            <w:vMerge/>
            <w:shd w:val="clear" w:color="auto" w:fill="D9D9D9"/>
          </w:tcPr>
          <w:p w14:paraId="5BC1BB06" w14:textId="77777777" w:rsidR="00D92E0B" w:rsidRPr="00001A6D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694" w:type="dxa"/>
            <w:gridSpan w:val="2"/>
            <w:shd w:val="clear" w:color="auto" w:fill="auto"/>
          </w:tcPr>
          <w:p w14:paraId="3230B95C" w14:textId="2E5F0192" w:rsidR="00D92E0B" w:rsidRPr="00001A6D" w:rsidRDefault="00001A6D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001A6D">
              <w:rPr>
                <w:rFonts w:ascii="Wingdings" w:hAnsi="Wingdings"/>
                <w:sz w:val="22"/>
                <w:szCs w:val="22"/>
                <w:lang w:eastAsia="zh-CN"/>
              </w:rPr>
              <w:t></w:t>
            </w:r>
            <w:r w:rsidR="00D92E0B" w:rsidRPr="00001A6D">
              <w:rPr>
                <w:rFonts w:cs="Times New Roman"/>
                <w:sz w:val="22"/>
                <w:szCs w:val="22"/>
                <w:lang w:val="en-GB" w:eastAsia="zh-CN"/>
              </w:rPr>
              <w:t xml:space="preserve"> 5</w:t>
            </w:r>
            <w:r w:rsidR="00D92E0B" w:rsidRPr="00001A6D">
              <w:rPr>
                <w:rFonts w:cs="Times New Roman"/>
                <w:sz w:val="22"/>
                <w:szCs w:val="22"/>
                <w:lang w:val="en-GB"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D92E0B" w:rsidRPr="00001A6D" w14:paraId="1E524DB4" w14:textId="77777777" w:rsidTr="00001A6D">
        <w:trPr>
          <w:trHeight w:val="345"/>
          <w:jc w:val="center"/>
        </w:trPr>
        <w:tc>
          <w:tcPr>
            <w:tcW w:w="1940" w:type="dxa"/>
            <w:vMerge/>
            <w:shd w:val="clear" w:color="auto" w:fill="D9D9D9"/>
          </w:tcPr>
          <w:p w14:paraId="4EF4BDB6" w14:textId="77777777" w:rsidR="00D92E0B" w:rsidRPr="00001A6D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694" w:type="dxa"/>
            <w:gridSpan w:val="2"/>
            <w:shd w:val="clear" w:color="auto" w:fill="auto"/>
          </w:tcPr>
          <w:p w14:paraId="1E1ECAAF" w14:textId="7F4CB2CC" w:rsidR="00D92E0B" w:rsidRPr="00001A6D" w:rsidRDefault="00705E85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001A6D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001A6D">
              <w:rPr>
                <w:rFonts w:cs="Times New Roman"/>
                <w:sz w:val="22"/>
                <w:szCs w:val="22"/>
                <w:lang w:val="en-GB" w:eastAsia="zh-CN"/>
              </w:rPr>
              <w:t xml:space="preserve"> 6</w:t>
            </w:r>
            <w:r w:rsidR="00D92E0B" w:rsidRPr="00001A6D">
              <w:rPr>
                <w:rFonts w:cs="Times New Roman"/>
                <w:sz w:val="22"/>
                <w:szCs w:val="22"/>
                <w:lang w:val="en-GB"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D92E0B" w:rsidRPr="00001A6D" w14:paraId="4A7E4B3D" w14:textId="77777777" w:rsidTr="00001A6D">
        <w:trPr>
          <w:jc w:val="center"/>
        </w:trPr>
        <w:tc>
          <w:tcPr>
            <w:tcW w:w="1940" w:type="dxa"/>
            <w:shd w:val="clear" w:color="auto" w:fill="D9D9D9"/>
          </w:tcPr>
          <w:p w14:paraId="567BB9B9" w14:textId="77777777" w:rsidR="00D92E0B" w:rsidRPr="00001A6D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001A6D">
              <w:rPr>
                <w:rFonts w:cs="Times New Roman"/>
                <w:sz w:val="22"/>
                <w:szCs w:val="22"/>
                <w:lang w:val="en-GB"/>
              </w:rPr>
              <w:t>备注</w:t>
            </w:r>
            <w:proofErr w:type="spellEnd"/>
          </w:p>
        </w:tc>
        <w:tc>
          <w:tcPr>
            <w:tcW w:w="7694" w:type="dxa"/>
            <w:gridSpan w:val="2"/>
            <w:shd w:val="clear" w:color="auto" w:fill="auto"/>
          </w:tcPr>
          <w:p w14:paraId="117B83DC" w14:textId="31CC5550" w:rsidR="00F877CB" w:rsidRPr="00001A6D" w:rsidRDefault="00001A6D" w:rsidP="002D0DA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不适用</w:t>
            </w:r>
          </w:p>
        </w:tc>
      </w:tr>
    </w:tbl>
    <w:p w14:paraId="0AABD64F" w14:textId="77777777" w:rsidR="00D92E0B" w:rsidRPr="00705E85" w:rsidRDefault="00D92E0B" w:rsidP="00D92E0B">
      <w:pPr>
        <w:pStyle w:val="BodyText"/>
        <w:rPr>
          <w:sz w:val="22"/>
          <w:szCs w:val="22"/>
          <w:lang w:val="en-GB" w:eastAsia="zh-CN"/>
        </w:rPr>
      </w:pPr>
    </w:p>
    <w:p w14:paraId="7D493896" w14:textId="77777777" w:rsidR="0005110A" w:rsidRPr="008A3B57" w:rsidRDefault="0005110A">
      <w:pPr>
        <w:rPr>
          <w:sz w:val="22"/>
          <w:szCs w:val="22"/>
          <w:lang w:val="x-none"/>
        </w:rPr>
      </w:pPr>
    </w:p>
    <w:sectPr w:rsidR="0005110A" w:rsidRPr="008A3B5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69C5D0" w14:textId="77777777" w:rsidR="00D211F6" w:rsidRDefault="00D211F6" w:rsidP="00D92E0B">
      <w:pPr>
        <w:spacing w:after="0"/>
      </w:pPr>
      <w:r>
        <w:separator/>
      </w:r>
    </w:p>
  </w:endnote>
  <w:endnote w:type="continuationSeparator" w:id="0">
    <w:p w14:paraId="3B6F777A" w14:textId="77777777" w:rsidR="00D211F6" w:rsidRDefault="00D211F6" w:rsidP="00D92E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A8FCB9" w14:textId="77777777" w:rsidR="00B00E34" w:rsidRDefault="00B00E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98130815"/>
      <w:docPartObj>
        <w:docPartGallery w:val="Page Numbers (Bottom of Page)"/>
        <w:docPartUnique/>
      </w:docPartObj>
    </w:sdtPr>
    <w:sdtEndPr>
      <w:rPr>
        <w:noProof/>
        <w:sz w:val="22"/>
      </w:rPr>
    </w:sdtEndPr>
    <w:sdtContent>
      <w:p w14:paraId="194DC1EB" w14:textId="37734F65" w:rsidR="008A3B57" w:rsidRPr="008A3B57" w:rsidRDefault="008A3B57">
        <w:pPr>
          <w:pStyle w:val="Footer"/>
          <w:jc w:val="center"/>
          <w:rPr>
            <w:sz w:val="22"/>
          </w:rPr>
        </w:pPr>
        <w:r w:rsidRPr="008A3B57">
          <w:rPr>
            <w:sz w:val="22"/>
          </w:rPr>
          <w:fldChar w:fldCharType="begin"/>
        </w:r>
        <w:r w:rsidRPr="008A3B57">
          <w:rPr>
            <w:sz w:val="22"/>
          </w:rPr>
          <w:instrText xml:space="preserve"> PAGE   \* MERGEFORMAT </w:instrText>
        </w:r>
        <w:r w:rsidRPr="008A3B57">
          <w:rPr>
            <w:sz w:val="22"/>
          </w:rPr>
          <w:fldChar w:fldCharType="separate"/>
        </w:r>
        <w:r w:rsidR="00874B87">
          <w:rPr>
            <w:noProof/>
            <w:sz w:val="22"/>
          </w:rPr>
          <w:t>1</w:t>
        </w:r>
        <w:r w:rsidRPr="008A3B57">
          <w:rPr>
            <w:noProof/>
            <w:sz w:val="22"/>
          </w:rPr>
          <w:fldChar w:fldCharType="end"/>
        </w:r>
      </w:p>
    </w:sdtContent>
  </w:sdt>
  <w:p w14:paraId="5CB824E5" w14:textId="77777777" w:rsidR="0099230E" w:rsidRDefault="009923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4399AD" w14:textId="77777777" w:rsidR="00B00E34" w:rsidRDefault="00B00E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22D5EE" w14:textId="77777777" w:rsidR="00D211F6" w:rsidRDefault="00D211F6" w:rsidP="00D92E0B">
      <w:pPr>
        <w:spacing w:after="0"/>
      </w:pPr>
      <w:r>
        <w:separator/>
      </w:r>
    </w:p>
  </w:footnote>
  <w:footnote w:type="continuationSeparator" w:id="0">
    <w:p w14:paraId="1C57C7BC" w14:textId="77777777" w:rsidR="00D211F6" w:rsidRDefault="00D211F6" w:rsidP="00D92E0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BFF34" w14:textId="77777777" w:rsidR="00B00E34" w:rsidRDefault="00B00E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474C9F" w14:textId="77777777" w:rsidR="00B00E34" w:rsidRDefault="00B00E3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801F39" w14:textId="77777777" w:rsidR="00B00E34" w:rsidRDefault="00B00E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A3498"/>
    <w:multiLevelType w:val="multilevel"/>
    <w:tmpl w:val="8BB6627A"/>
    <w:name w:val="General"/>
    <w:lvl w:ilvl="0">
      <w:start w:val="1"/>
      <w:numFmt w:val="decimal"/>
      <w:lvlRestart w:val="0"/>
      <w:pStyle w:val="General3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lowerLetter"/>
      <w:pStyle w:val="General3L2"/>
      <w:lvlText w:val="(%2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pStyle w:val="General3L3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upperLetter"/>
      <w:pStyle w:val="General3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pStyle w:val="General3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none"/>
      <w:lvlRestart w:val="0"/>
      <w:pStyle w:val="General3L6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none"/>
      <w:lvlRestart w:val="0"/>
      <w:pStyle w:val="General3L7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General3L8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pStyle w:val="General3L9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1" w15:restartNumberingAfterBreak="0">
    <w:nsid w:val="6AF7628B"/>
    <w:multiLevelType w:val="multilevel"/>
    <w:tmpl w:val="7884FE8A"/>
    <w:name w:val="General 3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vertAlign w:val="baseline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lowerRoman"/>
      <w:lvlText w:val="(%3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vertAlign w:val="baseline"/>
      </w:rPr>
    </w:lvl>
    <w:lvl w:ilvl="3">
      <w:start w:val="1"/>
      <w:numFmt w:val="upp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/>
  <w:trackRevisions/>
  <w:doNotTrackMoves/>
  <w:doNotTrackFormatting/>
  <w:defaultTabStop w:val="720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E0B"/>
    <w:rsid w:val="00001A6D"/>
    <w:rsid w:val="0005110A"/>
    <w:rsid w:val="0008652E"/>
    <w:rsid w:val="000A319E"/>
    <w:rsid w:val="001620F1"/>
    <w:rsid w:val="001E7029"/>
    <w:rsid w:val="001E7764"/>
    <w:rsid w:val="0022234D"/>
    <w:rsid w:val="0024351F"/>
    <w:rsid w:val="00282F95"/>
    <w:rsid w:val="00346D4D"/>
    <w:rsid w:val="00352AEF"/>
    <w:rsid w:val="003A28B1"/>
    <w:rsid w:val="0040766C"/>
    <w:rsid w:val="0041446C"/>
    <w:rsid w:val="0047593C"/>
    <w:rsid w:val="004871BD"/>
    <w:rsid w:val="004D1096"/>
    <w:rsid w:val="004E5A46"/>
    <w:rsid w:val="004F0041"/>
    <w:rsid w:val="004F26EC"/>
    <w:rsid w:val="0064168F"/>
    <w:rsid w:val="006450E1"/>
    <w:rsid w:val="006D5A9E"/>
    <w:rsid w:val="00705E85"/>
    <w:rsid w:val="00721041"/>
    <w:rsid w:val="007472FC"/>
    <w:rsid w:val="007535D1"/>
    <w:rsid w:val="00764DB0"/>
    <w:rsid w:val="0079009C"/>
    <w:rsid w:val="007A47AA"/>
    <w:rsid w:val="00842DD0"/>
    <w:rsid w:val="008436B7"/>
    <w:rsid w:val="008457C5"/>
    <w:rsid w:val="00852A85"/>
    <w:rsid w:val="008562CE"/>
    <w:rsid w:val="008656E0"/>
    <w:rsid w:val="00874B87"/>
    <w:rsid w:val="008A3B57"/>
    <w:rsid w:val="009004F6"/>
    <w:rsid w:val="00932B1D"/>
    <w:rsid w:val="00944E3F"/>
    <w:rsid w:val="00955B7B"/>
    <w:rsid w:val="00966276"/>
    <w:rsid w:val="0099230E"/>
    <w:rsid w:val="009D60C7"/>
    <w:rsid w:val="00A766C7"/>
    <w:rsid w:val="00AA5D49"/>
    <w:rsid w:val="00AB2557"/>
    <w:rsid w:val="00AB7F70"/>
    <w:rsid w:val="00AC0FB8"/>
    <w:rsid w:val="00B00E34"/>
    <w:rsid w:val="00B15B57"/>
    <w:rsid w:val="00B80E6D"/>
    <w:rsid w:val="00BC063A"/>
    <w:rsid w:val="00BF6B18"/>
    <w:rsid w:val="00C855C4"/>
    <w:rsid w:val="00CD590A"/>
    <w:rsid w:val="00CD73F7"/>
    <w:rsid w:val="00D211F6"/>
    <w:rsid w:val="00D458E2"/>
    <w:rsid w:val="00D91095"/>
    <w:rsid w:val="00D92E0B"/>
    <w:rsid w:val="00DC05CD"/>
    <w:rsid w:val="00DC1875"/>
    <w:rsid w:val="00DE21ED"/>
    <w:rsid w:val="00E44950"/>
    <w:rsid w:val="00E94D11"/>
    <w:rsid w:val="00EF2CBF"/>
    <w:rsid w:val="00F4045F"/>
    <w:rsid w:val="00F53CA5"/>
    <w:rsid w:val="00F877CB"/>
    <w:rsid w:val="00FC7EB3"/>
    <w:rsid w:val="00FD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."/>
  <w:listSeparator w:val=","/>
  <w14:docId w14:val="227BA744"/>
  <w15:chartTrackingRefBased/>
  <w15:docId w15:val="{C3D8D51E-6C01-4FCF-9F8E-BF7623C1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92E0B"/>
    <w:pPr>
      <w:spacing w:after="240" w:line="240" w:lineRule="auto"/>
      <w:jc w:val="both"/>
    </w:pPr>
    <w:rPr>
      <w:rFonts w:ascii="Times New Roman" w:eastAsia="宋体" w:hAnsi="Times New Roman" w:cs="Times New Roman"/>
      <w:sz w:val="24"/>
      <w:szCs w:val="24"/>
      <w:lang w:bidi="ar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D92E0B"/>
  </w:style>
  <w:style w:type="paragraph" w:styleId="Footer">
    <w:name w:val="footer"/>
    <w:basedOn w:val="Normal"/>
    <w:link w:val="FooterChar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eastAsiaTheme="minorEastAsia"/>
      <w:sz w:val="16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D92E0B"/>
    <w:rPr>
      <w:rFonts w:ascii="Times New Roman" w:hAnsi="Times New Roman" w:cs="Times New Roman"/>
      <w:sz w:val="16"/>
    </w:rPr>
  </w:style>
  <w:style w:type="paragraph" w:styleId="BodyText">
    <w:name w:val="Body Text"/>
    <w:basedOn w:val="Normal"/>
    <w:link w:val="BodyTextChar"/>
    <w:rsid w:val="00D92E0B"/>
    <w:rPr>
      <w:rFonts w:cs="Simplified Arabic"/>
      <w:lang w:val="x-none" w:eastAsia="en-GB"/>
    </w:rPr>
  </w:style>
  <w:style w:type="character" w:customStyle="1" w:styleId="BodyTextChar">
    <w:name w:val="Body Text Char"/>
    <w:basedOn w:val="DefaultParagraphFont"/>
    <w:link w:val="BodyText"/>
    <w:rsid w:val="00D92E0B"/>
    <w:rPr>
      <w:rFonts w:ascii="Times New Roman" w:eastAsia="宋体" w:hAnsi="Times New Roman" w:cs="Simplified Arabic"/>
      <w:sz w:val="24"/>
      <w:szCs w:val="24"/>
      <w:lang w:val="x-none" w:eastAsia="en-GB" w:bidi="ar-AE"/>
    </w:rPr>
  </w:style>
  <w:style w:type="character" w:styleId="PageNumber">
    <w:name w:val="page number"/>
    <w:basedOn w:val="DefaultParagraphFont"/>
    <w:uiPriority w:val="99"/>
    <w:semiHidden/>
    <w:unhideWhenUsed/>
    <w:rsid w:val="00852A85"/>
    <w:rPr>
      <w:rFonts w:ascii="Times New Roman" w:hAnsi="Times New Roman" w:cs="Times New Roman"/>
      <w:b w:val="0"/>
      <w:sz w:val="24"/>
    </w:rPr>
  </w:style>
  <w:style w:type="paragraph" w:customStyle="1" w:styleId="FooterRight">
    <w:name w:val="Footer Right"/>
    <w:basedOn w:val="Footer"/>
    <w:link w:val="FooterRightChar"/>
    <w:rsid w:val="00852A85"/>
    <w:pPr>
      <w:spacing w:line="440" w:lineRule="exact"/>
      <w:jc w:val="right"/>
    </w:pPr>
    <w:rPr>
      <w:szCs w:val="28"/>
    </w:rPr>
  </w:style>
  <w:style w:type="character" w:customStyle="1" w:styleId="FooterRightChar">
    <w:name w:val="Footer Right Char"/>
    <w:basedOn w:val="DefaultParagraphFont"/>
    <w:link w:val="FooterRight"/>
    <w:rsid w:val="00852A85"/>
    <w:rPr>
      <w:rFonts w:ascii="Times New Roman" w:hAnsi="Times New Roman" w:cs="Times New Roman"/>
      <w:sz w:val="16"/>
      <w:szCs w:val="28"/>
    </w:rPr>
  </w:style>
  <w:style w:type="character" w:styleId="Hyperlink">
    <w:name w:val="Hyperlink"/>
    <w:uiPriority w:val="99"/>
    <w:rsid w:val="007535D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68F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7F70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F70"/>
    <w:rPr>
      <w:rFonts w:ascii="Segoe UI" w:eastAsia="宋体" w:hAnsi="Segoe UI" w:cs="Segoe UI"/>
      <w:sz w:val="18"/>
      <w:szCs w:val="18"/>
      <w:lang w:bidi="ar-A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F2CB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F2CBF"/>
    <w:rPr>
      <w:rFonts w:ascii="Times New Roman" w:eastAsia="宋体" w:hAnsi="Times New Roman" w:cs="Times New Roman"/>
      <w:sz w:val="24"/>
      <w:szCs w:val="24"/>
      <w:lang w:bidi="ar-AE"/>
    </w:rPr>
  </w:style>
  <w:style w:type="paragraph" w:customStyle="1" w:styleId="General3L9">
    <w:name w:val="General 3 L9"/>
    <w:basedOn w:val="Normal"/>
    <w:rsid w:val="00EF2CBF"/>
    <w:pPr>
      <w:numPr>
        <w:ilvl w:val="8"/>
        <w:numId w:val="1"/>
      </w:numPr>
      <w:outlineLvl w:val="8"/>
    </w:pPr>
    <w:rPr>
      <w:rFonts w:cs="Simplified Arabic"/>
      <w:bCs/>
    </w:rPr>
  </w:style>
  <w:style w:type="paragraph" w:customStyle="1" w:styleId="General3L8">
    <w:name w:val="General 3 L8"/>
    <w:basedOn w:val="Normal"/>
    <w:rsid w:val="00EF2CBF"/>
    <w:pPr>
      <w:numPr>
        <w:ilvl w:val="7"/>
        <w:numId w:val="1"/>
      </w:numPr>
      <w:outlineLvl w:val="7"/>
    </w:pPr>
    <w:rPr>
      <w:rFonts w:cs="Simplified Arabic"/>
      <w:bCs/>
    </w:rPr>
  </w:style>
  <w:style w:type="paragraph" w:customStyle="1" w:styleId="General3L7">
    <w:name w:val="General 3 L7"/>
    <w:basedOn w:val="Normal"/>
    <w:rsid w:val="00EF2CBF"/>
    <w:pPr>
      <w:numPr>
        <w:ilvl w:val="6"/>
        <w:numId w:val="1"/>
      </w:numPr>
      <w:outlineLvl w:val="6"/>
    </w:pPr>
    <w:rPr>
      <w:rFonts w:cs="Simplified Arabic"/>
      <w:bCs/>
    </w:rPr>
  </w:style>
  <w:style w:type="paragraph" w:customStyle="1" w:styleId="General3L6">
    <w:name w:val="General 3 L6"/>
    <w:basedOn w:val="Normal"/>
    <w:rsid w:val="00EF2CBF"/>
    <w:pPr>
      <w:numPr>
        <w:ilvl w:val="5"/>
        <w:numId w:val="1"/>
      </w:numPr>
      <w:outlineLvl w:val="5"/>
    </w:pPr>
    <w:rPr>
      <w:rFonts w:cs="Simplified Arabic"/>
      <w:bCs/>
    </w:rPr>
  </w:style>
  <w:style w:type="paragraph" w:customStyle="1" w:styleId="General3L5">
    <w:name w:val="General 3 L5"/>
    <w:basedOn w:val="Normal"/>
    <w:next w:val="Normal"/>
    <w:rsid w:val="00EF2CBF"/>
    <w:pPr>
      <w:numPr>
        <w:ilvl w:val="4"/>
        <w:numId w:val="1"/>
      </w:numPr>
      <w:outlineLvl w:val="4"/>
    </w:pPr>
    <w:rPr>
      <w:rFonts w:cs="Simplified Arabic"/>
      <w:bCs/>
    </w:rPr>
  </w:style>
  <w:style w:type="paragraph" w:customStyle="1" w:styleId="General3L4">
    <w:name w:val="General 3 L4"/>
    <w:basedOn w:val="Normal"/>
    <w:next w:val="BodyText3"/>
    <w:rsid w:val="00EF2CBF"/>
    <w:pPr>
      <w:numPr>
        <w:ilvl w:val="3"/>
        <w:numId w:val="1"/>
      </w:numPr>
      <w:outlineLvl w:val="3"/>
    </w:pPr>
    <w:rPr>
      <w:rFonts w:cs="Simplified Arabic"/>
      <w:bCs/>
    </w:rPr>
  </w:style>
  <w:style w:type="paragraph" w:customStyle="1" w:styleId="General3L3">
    <w:name w:val="General 3 L3"/>
    <w:basedOn w:val="Normal"/>
    <w:next w:val="BodyText2"/>
    <w:rsid w:val="00EF2CBF"/>
    <w:pPr>
      <w:numPr>
        <w:ilvl w:val="2"/>
        <w:numId w:val="1"/>
      </w:numPr>
      <w:outlineLvl w:val="2"/>
    </w:pPr>
    <w:rPr>
      <w:rFonts w:cs="Simplified Arabic"/>
      <w:bCs/>
    </w:rPr>
  </w:style>
  <w:style w:type="paragraph" w:customStyle="1" w:styleId="General3L2">
    <w:name w:val="General 3 L2"/>
    <w:basedOn w:val="Normal"/>
    <w:next w:val="Normal"/>
    <w:rsid w:val="00EF2CBF"/>
    <w:pPr>
      <w:numPr>
        <w:ilvl w:val="1"/>
        <w:numId w:val="1"/>
      </w:numPr>
      <w:outlineLvl w:val="1"/>
    </w:pPr>
    <w:rPr>
      <w:rFonts w:cs="Simplified Arabic"/>
      <w:bCs/>
    </w:rPr>
  </w:style>
  <w:style w:type="paragraph" w:customStyle="1" w:styleId="General3L1">
    <w:name w:val="General 3 L1"/>
    <w:basedOn w:val="Normal"/>
    <w:next w:val="Normal"/>
    <w:rsid w:val="00EF2CBF"/>
    <w:pPr>
      <w:numPr>
        <w:numId w:val="1"/>
      </w:numPr>
      <w:outlineLvl w:val="0"/>
    </w:pPr>
    <w:rPr>
      <w:rFonts w:cs="Simplified Arabic"/>
      <w:bCs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F2CB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F2CBF"/>
    <w:rPr>
      <w:rFonts w:ascii="Times New Roman" w:eastAsia="宋体" w:hAnsi="Times New Roman" w:cs="Times New Roman"/>
      <w:sz w:val="16"/>
      <w:szCs w:val="16"/>
      <w:lang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cp:lastModifiedBy>DaHui Lawyers</cp:lastModifiedBy>
  <cp:revision>8</cp:revision>
  <dcterms:created xsi:type="dcterms:W3CDTF">2020-06-17T09:45:00Z</dcterms:created>
  <dcterms:modified xsi:type="dcterms:W3CDTF">2020-06-30T06:20:00Z</dcterms:modified>
</cp:coreProperties>
</file>