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EFE9F" w14:textId="77777777" w:rsidR="00094095" w:rsidRPr="00202C4C" w:rsidRDefault="00094095" w:rsidP="00094095">
      <w:pPr>
        <w:spacing w:line="480" w:lineRule="exact"/>
        <w:rPr>
          <w:rFonts w:ascii="仿宋_GB2312" w:eastAsia="仿宋_GB2312" w:hAnsi="Times New Roman" w:cs="Times New Roman"/>
          <w:sz w:val="28"/>
          <w:szCs w:val="28"/>
        </w:rPr>
      </w:pPr>
    </w:p>
    <w:p w14:paraId="61AB080E" w14:textId="77777777" w:rsidR="00094095" w:rsidRPr="008E7B8C" w:rsidRDefault="00094095" w:rsidP="00094095">
      <w:pPr>
        <w:spacing w:line="440" w:lineRule="exact"/>
        <w:jc w:val="center"/>
        <w:rPr>
          <w:rFonts w:ascii="黑体" w:eastAsia="黑体" w:hAnsi="Times New Roman" w:cs="Times New Roman"/>
          <w:sz w:val="30"/>
          <w:szCs w:val="30"/>
        </w:rPr>
      </w:pPr>
      <w:r w:rsidRPr="00202C4C">
        <w:rPr>
          <w:rFonts w:ascii="黑体" w:eastAsia="黑体" w:hAnsi="Times New Roman" w:cs="Times New Roman" w:hint="eastAsia"/>
          <w:sz w:val="30"/>
          <w:szCs w:val="30"/>
        </w:rPr>
        <w:t>经营者集中简易案件公示表</w:t>
      </w:r>
    </w:p>
    <w:p w14:paraId="7960E94F" w14:textId="77777777" w:rsidR="00094095" w:rsidRDefault="00094095" w:rsidP="00094095">
      <w:pPr>
        <w:spacing w:line="440" w:lineRule="exact"/>
        <w:rPr>
          <w:rFonts w:ascii="黑体" w:eastAsia="黑体" w:hAnsi="Times New Roman" w:cs="Times New Roman"/>
          <w:sz w:val="28"/>
          <w:szCs w:val="28"/>
        </w:rPr>
      </w:pPr>
    </w:p>
    <w:p w14:paraId="15E36EF1" w14:textId="77777777" w:rsidR="00094095" w:rsidRPr="00BA1596" w:rsidRDefault="00094095" w:rsidP="00094095">
      <w:pPr>
        <w:spacing w:line="440" w:lineRule="exact"/>
        <w:ind w:firstLineChars="302" w:firstLine="846"/>
        <w:rPr>
          <w:rFonts w:ascii="仿宋_GB2312" w:eastAsia="仿宋_GB2312" w:hAnsi="Times New Roman" w:cs="Times New Roman"/>
          <w:sz w:val="28"/>
          <w:szCs w:val="28"/>
        </w:rPr>
      </w:pPr>
      <w:r>
        <w:rPr>
          <w:rFonts w:ascii="黑体" w:eastAsia="黑体" w:hAnsi="Times New Roman" w:cs="Times New Roman" w:hint="eastAsia"/>
          <w:sz w:val="28"/>
          <w:szCs w:val="28"/>
        </w:rPr>
        <w:t xml:space="preserve">                        </w:t>
      </w:r>
      <w:r w:rsidRPr="00BA1596">
        <w:rPr>
          <w:rFonts w:ascii="仿宋_GB2312" w:eastAsia="仿宋_GB2312" w:hAnsi="Times New Roman" w:cs="Times New Roman" w:hint="eastAsia"/>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FA4325" w14:paraId="11CABFD1" w14:textId="77777777" w:rsidTr="004A0206">
        <w:trPr>
          <w:trHeight w:val="880"/>
        </w:trPr>
        <w:tc>
          <w:tcPr>
            <w:tcW w:w="1809" w:type="dxa"/>
            <w:shd w:val="clear" w:color="auto" w:fill="D9D9D9" w:themeFill="background1" w:themeFillShade="D9"/>
            <w:vAlign w:val="center"/>
          </w:tcPr>
          <w:p w14:paraId="5123D51D" w14:textId="77777777" w:rsidR="00094095" w:rsidRPr="00FB1A80" w:rsidRDefault="00094095" w:rsidP="00F97355">
            <w:pPr>
              <w:widowControl/>
              <w:snapToGrid w:val="0"/>
              <w:spacing w:beforeLines="50" w:before="156" w:afterLines="50" w:after="156" w:line="400" w:lineRule="exact"/>
              <w:rPr>
                <w:rFonts w:ascii="Times New Roman" w:eastAsia="宋体" w:hAnsi="宋体" w:cs="Times New Roman"/>
                <w:sz w:val="24"/>
                <w:szCs w:val="24"/>
              </w:rPr>
            </w:pPr>
            <w:r w:rsidRPr="00FA4325">
              <w:rPr>
                <w:rFonts w:ascii="Times New Roman" w:eastAsia="宋体" w:hAnsi="宋体" w:cs="Times New Roman"/>
                <w:sz w:val="24"/>
                <w:szCs w:val="24"/>
              </w:rPr>
              <w:t>案件名称</w:t>
            </w:r>
          </w:p>
        </w:tc>
        <w:tc>
          <w:tcPr>
            <w:tcW w:w="6949" w:type="dxa"/>
            <w:gridSpan w:val="2"/>
          </w:tcPr>
          <w:p w14:paraId="66B390E6" w14:textId="4BCC928D" w:rsidR="006652D0" w:rsidRPr="00D60D14" w:rsidRDefault="00A64E31" w:rsidP="005B52E5">
            <w:pPr>
              <w:widowControl/>
              <w:snapToGrid w:val="0"/>
              <w:spacing w:beforeLines="50" w:before="156" w:afterLines="50" w:after="156" w:line="400" w:lineRule="exact"/>
              <w:jc w:val="left"/>
              <w:rPr>
                <w:rFonts w:ascii="Times New Roman" w:eastAsia="宋体" w:hAnsi="宋体" w:cs="Times New Roman"/>
                <w:sz w:val="24"/>
                <w:szCs w:val="24"/>
              </w:rPr>
            </w:pPr>
            <w:r w:rsidRPr="00A64E31">
              <w:rPr>
                <w:rFonts w:ascii="Times New Roman" w:eastAsia="宋体" w:hAnsi="宋体" w:cs="Times New Roman" w:hint="eastAsia"/>
                <w:sz w:val="24"/>
                <w:szCs w:val="24"/>
              </w:rPr>
              <w:t>山东高速路桥集团股份有限公司收购中铁隆工程集团有限公司股权案</w:t>
            </w:r>
          </w:p>
        </w:tc>
      </w:tr>
      <w:tr w:rsidR="00094095" w:rsidRPr="00FA4325" w14:paraId="7A7F7CE5" w14:textId="77777777" w:rsidTr="004A0206">
        <w:trPr>
          <w:trHeight w:val="2880"/>
        </w:trPr>
        <w:tc>
          <w:tcPr>
            <w:tcW w:w="1809" w:type="dxa"/>
            <w:shd w:val="clear" w:color="auto" w:fill="D9D9D9" w:themeFill="background1" w:themeFillShade="D9"/>
            <w:vAlign w:val="center"/>
          </w:tcPr>
          <w:p w14:paraId="2A2D7CDC" w14:textId="77777777" w:rsidR="00094095" w:rsidRPr="00FB1A80" w:rsidRDefault="00094095" w:rsidP="00F97355">
            <w:pPr>
              <w:widowControl/>
              <w:snapToGrid w:val="0"/>
              <w:spacing w:beforeLines="50" w:before="156" w:afterLines="50" w:after="156" w:line="400" w:lineRule="exact"/>
              <w:rPr>
                <w:rFonts w:ascii="Times New Roman" w:eastAsia="宋体" w:hAnsi="宋体" w:cs="Times New Roman"/>
                <w:sz w:val="24"/>
                <w:szCs w:val="24"/>
              </w:rPr>
            </w:pPr>
            <w:r w:rsidRPr="00FA4325">
              <w:rPr>
                <w:rFonts w:ascii="Times New Roman" w:eastAsia="宋体" w:hAnsi="宋体" w:cs="Times New Roman"/>
                <w:sz w:val="24"/>
                <w:szCs w:val="24"/>
              </w:rPr>
              <w:t>交易概况（限</w:t>
            </w:r>
            <w:r w:rsidRPr="00FB1A80">
              <w:rPr>
                <w:rFonts w:ascii="Times New Roman" w:eastAsia="宋体" w:hAnsi="宋体" w:cs="Times New Roman"/>
                <w:sz w:val="24"/>
                <w:szCs w:val="24"/>
              </w:rPr>
              <w:t>200</w:t>
            </w:r>
            <w:r w:rsidRPr="00FA4325">
              <w:rPr>
                <w:rFonts w:ascii="Times New Roman" w:eastAsia="宋体" w:hAnsi="宋体" w:cs="Times New Roman"/>
                <w:sz w:val="24"/>
                <w:szCs w:val="24"/>
              </w:rPr>
              <w:t>字内）</w:t>
            </w:r>
          </w:p>
        </w:tc>
        <w:tc>
          <w:tcPr>
            <w:tcW w:w="6949" w:type="dxa"/>
            <w:gridSpan w:val="2"/>
          </w:tcPr>
          <w:p w14:paraId="2E1BC5C9" w14:textId="3EE50A94" w:rsidR="00094095" w:rsidRPr="00A64E31" w:rsidRDefault="00A64E31" w:rsidP="00F97355">
            <w:pPr>
              <w:widowControl/>
              <w:snapToGrid w:val="0"/>
              <w:spacing w:beforeLines="50" w:before="156" w:afterLines="50" w:after="156" w:line="400" w:lineRule="exact"/>
              <w:rPr>
                <w:rFonts w:ascii="Times New Roman" w:eastAsia="宋体" w:hAnsi="宋体" w:cs="Times New Roman"/>
                <w:bCs/>
                <w:sz w:val="24"/>
                <w:szCs w:val="24"/>
              </w:rPr>
            </w:pPr>
            <w:r w:rsidRPr="00A64E31">
              <w:rPr>
                <w:rFonts w:ascii="Times New Roman" w:eastAsia="宋体" w:hAnsi="宋体" w:cs="Times New Roman" w:hint="eastAsia"/>
                <w:bCs/>
                <w:sz w:val="24"/>
                <w:szCs w:val="24"/>
              </w:rPr>
              <w:t>山东高速路桥集团股份有限公司</w:t>
            </w:r>
            <w:r>
              <w:rPr>
                <w:rFonts w:ascii="Times New Roman" w:eastAsia="宋体" w:hAnsi="宋体" w:cs="Times New Roman" w:hint="eastAsia"/>
                <w:bCs/>
                <w:sz w:val="24"/>
                <w:szCs w:val="24"/>
              </w:rPr>
              <w:t>（下称“山东路桥”）</w:t>
            </w:r>
            <w:r w:rsidRPr="00A64E31">
              <w:rPr>
                <w:rFonts w:ascii="Times New Roman" w:eastAsia="宋体" w:hAnsi="宋体" w:cs="Times New Roman" w:hint="eastAsia"/>
                <w:bCs/>
                <w:sz w:val="24"/>
                <w:szCs w:val="24"/>
              </w:rPr>
              <w:t>全资子公司山东高速路桥投资管理有限公司（下称“路桥投资</w:t>
            </w:r>
            <w:r>
              <w:rPr>
                <w:rFonts w:ascii="Times New Roman" w:eastAsia="宋体" w:hAnsi="宋体" w:cs="Times New Roman" w:hint="eastAsia"/>
                <w:bCs/>
                <w:sz w:val="24"/>
                <w:szCs w:val="24"/>
              </w:rPr>
              <w:t>公司</w:t>
            </w:r>
            <w:r w:rsidRPr="00A64E31">
              <w:rPr>
                <w:rFonts w:ascii="Times New Roman" w:eastAsia="宋体" w:hAnsi="宋体" w:cs="Times New Roman" w:hint="eastAsia"/>
                <w:bCs/>
                <w:sz w:val="24"/>
                <w:szCs w:val="24"/>
              </w:rPr>
              <w:t>”）</w:t>
            </w:r>
            <w:r>
              <w:rPr>
                <w:rFonts w:ascii="Times New Roman" w:eastAsia="宋体" w:hAnsi="宋体" w:cs="Times New Roman" w:hint="eastAsia"/>
                <w:bCs/>
                <w:sz w:val="24"/>
                <w:szCs w:val="24"/>
              </w:rPr>
              <w:t>收购成都凯祺瑞企业管理有限公司（下称“凯祺瑞公司”）持有的中铁隆工程集团有限公司（下称“中铁隆公司”）股权，并对中铁隆公司进行增资；通过本次交易路桥投资持有中铁隆公司</w:t>
            </w:r>
            <w:r>
              <w:rPr>
                <w:rFonts w:ascii="Times New Roman" w:eastAsia="宋体" w:hAnsi="宋体" w:cs="Times New Roman" w:hint="eastAsia"/>
                <w:bCs/>
                <w:sz w:val="24"/>
                <w:szCs w:val="24"/>
              </w:rPr>
              <w:t>4</w:t>
            </w:r>
            <w:r>
              <w:rPr>
                <w:rFonts w:ascii="Times New Roman" w:eastAsia="宋体" w:hAnsi="宋体" w:cs="Times New Roman"/>
                <w:bCs/>
                <w:sz w:val="24"/>
                <w:szCs w:val="24"/>
              </w:rPr>
              <w:t>9.821</w:t>
            </w:r>
            <w:r>
              <w:rPr>
                <w:rFonts w:ascii="Times New Roman" w:eastAsia="宋体" w:hAnsi="宋体" w:cs="Times New Roman" w:hint="eastAsia"/>
                <w:bCs/>
                <w:sz w:val="24"/>
                <w:szCs w:val="24"/>
              </w:rPr>
              <w:t>%</w:t>
            </w:r>
            <w:r>
              <w:rPr>
                <w:rFonts w:ascii="Times New Roman" w:eastAsia="宋体" w:hAnsi="宋体" w:cs="Times New Roman" w:hint="eastAsia"/>
                <w:bCs/>
                <w:sz w:val="24"/>
                <w:szCs w:val="24"/>
              </w:rPr>
              <w:t>股权，凯祺瑞公司持有中铁隆公司</w:t>
            </w:r>
            <w:r>
              <w:rPr>
                <w:rFonts w:ascii="Times New Roman" w:eastAsia="宋体" w:hAnsi="宋体" w:cs="Times New Roman" w:hint="eastAsia"/>
                <w:bCs/>
                <w:sz w:val="24"/>
                <w:szCs w:val="24"/>
              </w:rPr>
              <w:t>4</w:t>
            </w:r>
            <w:r>
              <w:rPr>
                <w:rFonts w:ascii="Times New Roman" w:eastAsia="宋体" w:hAnsi="宋体" w:cs="Times New Roman"/>
                <w:bCs/>
                <w:sz w:val="24"/>
                <w:szCs w:val="24"/>
              </w:rPr>
              <w:t>9.821</w:t>
            </w:r>
            <w:r>
              <w:rPr>
                <w:rFonts w:ascii="Times New Roman" w:eastAsia="宋体" w:hAnsi="宋体" w:cs="Times New Roman" w:hint="eastAsia"/>
                <w:bCs/>
                <w:sz w:val="24"/>
                <w:szCs w:val="24"/>
              </w:rPr>
              <w:t>%</w:t>
            </w:r>
            <w:r>
              <w:rPr>
                <w:rFonts w:ascii="Times New Roman" w:eastAsia="宋体" w:hAnsi="宋体" w:cs="Times New Roman" w:hint="eastAsia"/>
                <w:bCs/>
                <w:sz w:val="24"/>
                <w:szCs w:val="24"/>
              </w:rPr>
              <w:t>股权，张伟瑄持有中铁隆公司</w:t>
            </w:r>
            <w:r>
              <w:rPr>
                <w:rFonts w:ascii="Times New Roman" w:eastAsia="宋体" w:hAnsi="宋体" w:cs="Times New Roman" w:hint="eastAsia"/>
                <w:bCs/>
                <w:sz w:val="24"/>
                <w:szCs w:val="24"/>
              </w:rPr>
              <w:t>0</w:t>
            </w:r>
            <w:r>
              <w:rPr>
                <w:rFonts w:ascii="Times New Roman" w:eastAsia="宋体" w:hAnsi="宋体" w:cs="Times New Roman"/>
                <w:bCs/>
                <w:sz w:val="24"/>
                <w:szCs w:val="24"/>
              </w:rPr>
              <w:t>.358</w:t>
            </w:r>
            <w:r>
              <w:rPr>
                <w:rFonts w:ascii="Times New Roman" w:eastAsia="宋体" w:hAnsi="宋体" w:cs="Times New Roman" w:hint="eastAsia"/>
                <w:bCs/>
                <w:sz w:val="24"/>
                <w:szCs w:val="24"/>
              </w:rPr>
              <w:t>%</w:t>
            </w:r>
            <w:r>
              <w:rPr>
                <w:rFonts w:ascii="Times New Roman" w:eastAsia="宋体" w:hAnsi="宋体" w:cs="Times New Roman" w:hint="eastAsia"/>
                <w:bCs/>
                <w:sz w:val="24"/>
                <w:szCs w:val="24"/>
              </w:rPr>
              <w:t>股权。</w:t>
            </w:r>
            <w:r w:rsidR="008A3C40">
              <w:rPr>
                <w:rFonts w:ascii="Times New Roman" w:eastAsia="宋体" w:hAnsi="宋体" w:cs="Times New Roman" w:hint="eastAsia"/>
                <w:bCs/>
                <w:sz w:val="24"/>
                <w:szCs w:val="24"/>
              </w:rPr>
              <w:t>交易完成后，路桥投资公司</w:t>
            </w:r>
            <w:r w:rsidR="004A0206">
              <w:rPr>
                <w:rFonts w:ascii="Times New Roman" w:eastAsia="宋体" w:hAnsi="宋体" w:cs="Times New Roman" w:hint="eastAsia"/>
                <w:bCs/>
                <w:sz w:val="24"/>
                <w:szCs w:val="24"/>
              </w:rPr>
              <w:t>单独</w:t>
            </w:r>
            <w:r w:rsidR="008A3C40">
              <w:rPr>
                <w:rFonts w:ascii="Times New Roman" w:eastAsia="宋体" w:hAnsi="宋体" w:cs="Times New Roman" w:hint="eastAsia"/>
                <w:bCs/>
                <w:sz w:val="24"/>
                <w:szCs w:val="24"/>
              </w:rPr>
              <w:t>具有中铁隆公司的控制权。</w:t>
            </w:r>
          </w:p>
        </w:tc>
      </w:tr>
      <w:tr w:rsidR="00094095" w:rsidRPr="00FA4325" w14:paraId="30003E5D" w14:textId="77777777" w:rsidTr="00F97355">
        <w:trPr>
          <w:trHeight w:val="468"/>
        </w:trPr>
        <w:tc>
          <w:tcPr>
            <w:tcW w:w="1809" w:type="dxa"/>
            <w:vMerge w:val="restart"/>
            <w:shd w:val="clear" w:color="auto" w:fill="D9D9D9" w:themeFill="background1" w:themeFillShade="D9"/>
            <w:vAlign w:val="center"/>
          </w:tcPr>
          <w:p w14:paraId="07E744F9" w14:textId="77777777" w:rsidR="00094095" w:rsidRPr="00FA4325" w:rsidRDefault="00094095" w:rsidP="009426FB">
            <w:pPr>
              <w:spacing w:line="500" w:lineRule="exact"/>
              <w:rPr>
                <w:rFonts w:ascii="Times New Roman" w:eastAsia="宋体" w:hAnsi="Times New Roman" w:cs="Times New Roman"/>
                <w:sz w:val="24"/>
                <w:szCs w:val="24"/>
              </w:rPr>
            </w:pPr>
            <w:r w:rsidRPr="00FA4325">
              <w:rPr>
                <w:rFonts w:ascii="Times New Roman" w:eastAsia="宋体" w:hAnsi="宋体" w:cs="Times New Roman"/>
                <w:sz w:val="24"/>
                <w:szCs w:val="24"/>
              </w:rPr>
              <w:t>参与集中的经营者简介</w:t>
            </w:r>
          </w:p>
        </w:tc>
        <w:tc>
          <w:tcPr>
            <w:tcW w:w="1796" w:type="dxa"/>
            <w:vAlign w:val="center"/>
          </w:tcPr>
          <w:p w14:paraId="4E4DA799" w14:textId="1F1F0BF2" w:rsidR="00094095" w:rsidRPr="00FA4325" w:rsidRDefault="00A64E31" w:rsidP="009426FB">
            <w:pPr>
              <w:spacing w:beforeLines="50" w:before="156" w:afterLines="50" w:after="156" w:line="40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山东路桥</w:t>
            </w:r>
          </w:p>
        </w:tc>
        <w:tc>
          <w:tcPr>
            <w:tcW w:w="5153" w:type="dxa"/>
          </w:tcPr>
          <w:p w14:paraId="142379B1" w14:textId="0C6C6651" w:rsidR="00094095" w:rsidRPr="00A64E31" w:rsidRDefault="00A64E31" w:rsidP="009426FB">
            <w:pPr>
              <w:spacing w:beforeLines="50" w:before="156" w:afterLines="50" w:after="156" w:line="400" w:lineRule="exact"/>
              <w:rPr>
                <w:rFonts w:ascii="Times New Roman" w:eastAsia="宋体" w:hAnsi="宋体" w:cs="Times New Roman"/>
                <w:sz w:val="24"/>
                <w:szCs w:val="24"/>
              </w:rPr>
            </w:pPr>
            <w:bookmarkStart w:id="0" w:name="_Toc356809686"/>
            <w:r>
              <w:rPr>
                <w:rFonts w:ascii="Times New Roman" w:eastAsia="宋体" w:hAnsi="宋体" w:cs="Times New Roman" w:hint="eastAsia"/>
                <w:sz w:val="24"/>
                <w:szCs w:val="24"/>
              </w:rPr>
              <w:t>山东路桥是一家依据中国法律于</w:t>
            </w:r>
            <w:r>
              <w:rPr>
                <w:rFonts w:ascii="Times New Roman" w:eastAsia="宋体" w:hAnsi="宋体" w:cs="Times New Roman" w:hint="eastAsia"/>
                <w:sz w:val="24"/>
                <w:szCs w:val="24"/>
              </w:rPr>
              <w:t>1</w:t>
            </w:r>
            <w:r>
              <w:rPr>
                <w:rFonts w:ascii="Times New Roman" w:eastAsia="宋体" w:hAnsi="宋体" w:cs="Times New Roman"/>
                <w:sz w:val="24"/>
                <w:szCs w:val="24"/>
              </w:rPr>
              <w:t>994</w:t>
            </w:r>
            <w:r>
              <w:rPr>
                <w:rFonts w:ascii="Times New Roman" w:eastAsia="宋体" w:hAnsi="宋体" w:cs="Times New Roman" w:hint="eastAsia"/>
                <w:sz w:val="24"/>
                <w:szCs w:val="24"/>
              </w:rPr>
              <w:t>年</w:t>
            </w:r>
            <w:r>
              <w:rPr>
                <w:rFonts w:ascii="Times New Roman" w:eastAsia="宋体" w:hAnsi="宋体" w:cs="Times New Roman" w:hint="eastAsia"/>
                <w:sz w:val="24"/>
                <w:szCs w:val="24"/>
              </w:rPr>
              <w:t>1</w:t>
            </w:r>
            <w:r>
              <w:rPr>
                <w:rFonts w:ascii="Times New Roman" w:eastAsia="宋体" w:hAnsi="宋体" w:cs="Times New Roman" w:hint="eastAsia"/>
                <w:sz w:val="24"/>
                <w:szCs w:val="24"/>
              </w:rPr>
              <w:t>月</w:t>
            </w:r>
            <w:r>
              <w:rPr>
                <w:rFonts w:ascii="Times New Roman" w:eastAsia="宋体" w:hAnsi="宋体" w:cs="Times New Roman" w:hint="eastAsia"/>
                <w:sz w:val="24"/>
                <w:szCs w:val="24"/>
              </w:rPr>
              <w:t>1</w:t>
            </w:r>
            <w:r>
              <w:rPr>
                <w:rFonts w:ascii="Times New Roman" w:eastAsia="宋体" w:hAnsi="宋体" w:cs="Times New Roman"/>
                <w:sz w:val="24"/>
                <w:szCs w:val="24"/>
              </w:rPr>
              <w:t>0</w:t>
            </w:r>
            <w:r>
              <w:rPr>
                <w:rFonts w:ascii="Times New Roman" w:eastAsia="宋体" w:hAnsi="宋体" w:cs="Times New Roman" w:hint="eastAsia"/>
                <w:sz w:val="24"/>
                <w:szCs w:val="24"/>
              </w:rPr>
              <w:t>日成立，目前注册地为山东</w:t>
            </w:r>
            <w:r w:rsidR="004A0206">
              <w:rPr>
                <w:rFonts w:ascii="Times New Roman" w:eastAsia="宋体" w:hAnsi="宋体" w:cs="Times New Roman" w:hint="eastAsia"/>
                <w:sz w:val="24"/>
                <w:szCs w:val="24"/>
              </w:rPr>
              <w:t>省</w:t>
            </w:r>
            <w:r>
              <w:rPr>
                <w:rFonts w:ascii="Times New Roman" w:eastAsia="宋体" w:hAnsi="宋体" w:cs="Times New Roman" w:hint="eastAsia"/>
                <w:sz w:val="24"/>
                <w:szCs w:val="24"/>
              </w:rPr>
              <w:t>济南市槐荫区，公司于</w:t>
            </w:r>
            <w:r>
              <w:rPr>
                <w:rFonts w:ascii="Times New Roman" w:eastAsia="宋体" w:hAnsi="宋体" w:cs="Times New Roman" w:hint="eastAsia"/>
                <w:sz w:val="24"/>
                <w:szCs w:val="24"/>
              </w:rPr>
              <w:t>2</w:t>
            </w:r>
            <w:r>
              <w:rPr>
                <w:rFonts w:ascii="Times New Roman" w:eastAsia="宋体" w:hAnsi="宋体" w:cs="Times New Roman"/>
                <w:sz w:val="24"/>
                <w:szCs w:val="24"/>
              </w:rPr>
              <w:t>012</w:t>
            </w:r>
            <w:r>
              <w:rPr>
                <w:rFonts w:ascii="Times New Roman" w:eastAsia="宋体" w:hAnsi="宋体" w:cs="Times New Roman" w:hint="eastAsia"/>
                <w:sz w:val="24"/>
                <w:szCs w:val="24"/>
              </w:rPr>
              <w:t>于深交所挂牌上市，股票代码为</w:t>
            </w:r>
            <w:r>
              <w:rPr>
                <w:rFonts w:ascii="Times New Roman" w:eastAsia="宋体" w:hAnsi="宋体" w:cs="Times New Roman" w:hint="eastAsia"/>
                <w:sz w:val="24"/>
                <w:szCs w:val="24"/>
              </w:rPr>
              <w:t>0</w:t>
            </w:r>
            <w:r>
              <w:rPr>
                <w:rFonts w:ascii="Times New Roman" w:eastAsia="宋体" w:hAnsi="宋体" w:cs="Times New Roman"/>
                <w:sz w:val="24"/>
                <w:szCs w:val="24"/>
              </w:rPr>
              <w:t>00498</w:t>
            </w:r>
            <w:r>
              <w:rPr>
                <w:rFonts w:ascii="Times New Roman" w:eastAsia="宋体" w:hAnsi="宋体" w:cs="Times New Roman" w:hint="eastAsia"/>
                <w:sz w:val="24"/>
                <w:szCs w:val="24"/>
              </w:rPr>
              <w:t>。</w:t>
            </w:r>
            <w:r w:rsidR="00E21DF0">
              <w:rPr>
                <w:rFonts w:ascii="Times New Roman" w:eastAsia="宋体" w:hAnsi="宋体" w:cs="Times New Roman" w:hint="eastAsia"/>
                <w:sz w:val="24"/>
                <w:szCs w:val="24"/>
              </w:rPr>
              <w:t>公司</w:t>
            </w:r>
            <w:r>
              <w:rPr>
                <w:rFonts w:ascii="Times New Roman" w:eastAsia="宋体" w:hAnsi="宋体" w:cs="Times New Roman" w:hint="eastAsia"/>
                <w:sz w:val="24"/>
                <w:szCs w:val="24"/>
              </w:rPr>
              <w:t>主营业务包括</w:t>
            </w:r>
            <w:r w:rsidR="00E21DF0" w:rsidRPr="00E21DF0">
              <w:rPr>
                <w:rFonts w:ascii="Times New Roman" w:eastAsia="宋体" w:hAnsi="宋体" w:cs="Times New Roman" w:hint="eastAsia"/>
                <w:sz w:val="24"/>
                <w:szCs w:val="24"/>
              </w:rPr>
              <w:t>公路</w:t>
            </w:r>
            <w:r w:rsidR="004A0206">
              <w:rPr>
                <w:rFonts w:ascii="Times New Roman" w:eastAsia="宋体" w:hAnsi="宋体" w:cs="Times New Roman" w:hint="eastAsia"/>
                <w:sz w:val="24"/>
                <w:szCs w:val="24"/>
              </w:rPr>
              <w:t>工程</w:t>
            </w:r>
            <w:r w:rsidR="00E21DF0" w:rsidRPr="00E21DF0">
              <w:rPr>
                <w:rFonts w:ascii="Times New Roman" w:eastAsia="宋体" w:hAnsi="宋体" w:cs="Times New Roman" w:hint="eastAsia"/>
                <w:sz w:val="24"/>
                <w:szCs w:val="24"/>
              </w:rPr>
              <w:t>、桥梁工程、隧道工程</w:t>
            </w:r>
            <w:r>
              <w:rPr>
                <w:rFonts w:ascii="Times New Roman" w:eastAsia="宋体" w:hAnsi="宋体" w:cs="Times New Roman" w:hint="eastAsia"/>
                <w:sz w:val="24"/>
                <w:szCs w:val="24"/>
              </w:rPr>
              <w:t>施工等。</w:t>
            </w:r>
            <w:bookmarkEnd w:id="0"/>
          </w:p>
        </w:tc>
      </w:tr>
      <w:tr w:rsidR="00635C19" w:rsidRPr="00FA4325" w14:paraId="2A5B8CEA" w14:textId="77777777" w:rsidTr="00F97355">
        <w:trPr>
          <w:trHeight w:val="1742"/>
        </w:trPr>
        <w:tc>
          <w:tcPr>
            <w:tcW w:w="1809" w:type="dxa"/>
            <w:vMerge/>
            <w:shd w:val="clear" w:color="auto" w:fill="D9D9D9" w:themeFill="background1" w:themeFillShade="D9"/>
          </w:tcPr>
          <w:p w14:paraId="14653F11" w14:textId="77777777" w:rsidR="00635C19" w:rsidRPr="00FA4325" w:rsidRDefault="00635C19" w:rsidP="00AB0B34">
            <w:pPr>
              <w:spacing w:line="500" w:lineRule="exact"/>
              <w:rPr>
                <w:rFonts w:ascii="Times New Roman" w:eastAsia="宋体" w:hAnsi="Times New Roman" w:cs="Times New Roman"/>
                <w:sz w:val="24"/>
                <w:szCs w:val="24"/>
              </w:rPr>
            </w:pPr>
          </w:p>
        </w:tc>
        <w:tc>
          <w:tcPr>
            <w:tcW w:w="1796" w:type="dxa"/>
            <w:vAlign w:val="center"/>
          </w:tcPr>
          <w:p w14:paraId="0B313B62" w14:textId="5397A343" w:rsidR="00635C19" w:rsidRPr="00FA4325" w:rsidRDefault="00A64E31" w:rsidP="009426FB">
            <w:pPr>
              <w:spacing w:beforeLines="50" w:before="156" w:afterLines="50" w:after="156" w:line="400" w:lineRule="exact"/>
              <w:rPr>
                <w:rFonts w:ascii="Times New Roman" w:eastAsia="宋体" w:hAnsi="Times New Roman" w:cs="Times New Roman"/>
                <w:sz w:val="24"/>
                <w:szCs w:val="24"/>
              </w:rPr>
            </w:pPr>
            <w:r>
              <w:rPr>
                <w:rFonts w:ascii="Times New Roman" w:eastAsia="宋体" w:hAnsi="Times New Roman" w:cs="Times New Roman" w:hint="eastAsia"/>
                <w:sz w:val="24"/>
                <w:szCs w:val="24"/>
              </w:rPr>
              <w:t>中铁隆公司</w:t>
            </w:r>
          </w:p>
        </w:tc>
        <w:tc>
          <w:tcPr>
            <w:tcW w:w="5153" w:type="dxa"/>
          </w:tcPr>
          <w:p w14:paraId="7ABFC7A9" w14:textId="17C6390D" w:rsidR="00635C19" w:rsidRPr="00FA4325" w:rsidRDefault="00A64E31" w:rsidP="00A64E31">
            <w:pPr>
              <w:spacing w:beforeLines="50" w:before="156" w:afterLines="50" w:after="156" w:line="400" w:lineRule="exact"/>
              <w:rPr>
                <w:rFonts w:ascii="Times New Roman" w:eastAsia="宋体" w:hAnsi="Times New Roman" w:cs="Times New Roman"/>
                <w:sz w:val="24"/>
                <w:szCs w:val="24"/>
              </w:rPr>
            </w:pPr>
            <w:r>
              <w:rPr>
                <w:rFonts w:ascii="Times New Roman" w:eastAsia="宋体" w:hAnsi="宋体" w:cs="Times New Roman" w:hint="eastAsia"/>
                <w:sz w:val="24"/>
                <w:szCs w:val="24"/>
              </w:rPr>
              <w:t>中铁隆公司是一家依中国法律成于</w:t>
            </w:r>
            <w:r w:rsidRPr="00A64E31">
              <w:rPr>
                <w:rFonts w:ascii="Times New Roman" w:eastAsia="宋体" w:hAnsi="宋体" w:cs="Times New Roman" w:hint="eastAsia"/>
                <w:sz w:val="24"/>
                <w:szCs w:val="24"/>
              </w:rPr>
              <w:t>1998</w:t>
            </w:r>
            <w:r>
              <w:rPr>
                <w:rFonts w:ascii="Times New Roman" w:eastAsia="宋体" w:hAnsi="宋体" w:cs="Times New Roman" w:hint="eastAsia"/>
                <w:sz w:val="24"/>
                <w:szCs w:val="24"/>
              </w:rPr>
              <w:t>年</w:t>
            </w:r>
            <w:r w:rsidRPr="00A64E31">
              <w:rPr>
                <w:rFonts w:ascii="Times New Roman" w:eastAsia="宋体" w:hAnsi="宋体" w:cs="Times New Roman" w:hint="eastAsia"/>
                <w:sz w:val="24"/>
                <w:szCs w:val="24"/>
              </w:rPr>
              <w:t>4</w:t>
            </w:r>
            <w:r>
              <w:rPr>
                <w:rFonts w:ascii="Times New Roman" w:eastAsia="宋体" w:hAnsi="宋体" w:cs="Times New Roman" w:hint="eastAsia"/>
                <w:sz w:val="24"/>
                <w:szCs w:val="24"/>
              </w:rPr>
              <w:t>月</w:t>
            </w:r>
            <w:r w:rsidRPr="00A64E31">
              <w:rPr>
                <w:rFonts w:ascii="Times New Roman" w:eastAsia="宋体" w:hAnsi="宋体" w:cs="Times New Roman" w:hint="eastAsia"/>
                <w:sz w:val="24"/>
                <w:szCs w:val="24"/>
              </w:rPr>
              <w:t>6</w:t>
            </w:r>
            <w:r>
              <w:rPr>
                <w:rFonts w:ascii="Times New Roman" w:eastAsia="宋体" w:hAnsi="宋体" w:cs="Times New Roman" w:hint="eastAsia"/>
                <w:sz w:val="24"/>
                <w:szCs w:val="24"/>
              </w:rPr>
              <w:t>日在成都市武侯区注册成立的有限责任公司，主要业务包括</w:t>
            </w:r>
            <w:r w:rsidRPr="00A64E31">
              <w:rPr>
                <w:rFonts w:ascii="Times New Roman" w:eastAsia="宋体" w:hAnsi="宋体" w:cs="Times New Roman" w:hint="eastAsia"/>
                <w:sz w:val="24"/>
                <w:szCs w:val="24"/>
              </w:rPr>
              <w:t>市政公用工程和房屋建筑工程，城市轨道交通工程，设备安装、装饰、装修、水利、水电、铁路、公路工程</w:t>
            </w:r>
            <w:r>
              <w:rPr>
                <w:rFonts w:ascii="Times New Roman" w:eastAsia="宋体" w:hAnsi="宋体" w:cs="Times New Roman" w:hint="eastAsia"/>
                <w:sz w:val="24"/>
                <w:szCs w:val="24"/>
              </w:rPr>
              <w:t>等。</w:t>
            </w:r>
          </w:p>
        </w:tc>
      </w:tr>
      <w:tr w:rsidR="00094095" w:rsidRPr="00FA4325" w14:paraId="05E656A1" w14:textId="77777777" w:rsidTr="00F97355">
        <w:trPr>
          <w:trHeight w:val="279"/>
        </w:trPr>
        <w:tc>
          <w:tcPr>
            <w:tcW w:w="1809" w:type="dxa"/>
            <w:vMerge w:val="restart"/>
            <w:shd w:val="clear" w:color="auto" w:fill="D9D9D9" w:themeFill="background1" w:themeFillShade="D9"/>
            <w:vAlign w:val="center"/>
          </w:tcPr>
          <w:p w14:paraId="1539C3DA" w14:textId="77777777" w:rsidR="00094095" w:rsidRPr="00FA4325" w:rsidRDefault="00094095" w:rsidP="009426FB">
            <w:pPr>
              <w:spacing w:line="500" w:lineRule="exact"/>
              <w:rPr>
                <w:rFonts w:ascii="Times New Roman" w:eastAsia="宋体" w:hAnsi="Times New Roman" w:cs="Times New Roman"/>
                <w:sz w:val="24"/>
                <w:szCs w:val="24"/>
              </w:rPr>
            </w:pPr>
            <w:r w:rsidRPr="00FA4325">
              <w:rPr>
                <w:rFonts w:ascii="Times New Roman" w:eastAsia="宋体" w:hAnsi="宋体" w:cs="Times New Roman"/>
                <w:sz w:val="24"/>
                <w:szCs w:val="24"/>
              </w:rPr>
              <w:t>简易案件理由（可多选）</w:t>
            </w:r>
          </w:p>
        </w:tc>
        <w:tc>
          <w:tcPr>
            <w:tcW w:w="6949" w:type="dxa"/>
            <w:gridSpan w:val="2"/>
          </w:tcPr>
          <w:p w14:paraId="641B49AD" w14:textId="331094DD" w:rsidR="00094095" w:rsidRPr="00FA4325" w:rsidRDefault="004A0206"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AC5674">
              <w:rPr>
                <w:rFonts w:ascii="Times New Roman" w:eastAsia="宋体" w:hAnsi="Times New Roman" w:cs="Times New Roman"/>
                <w:sz w:val="24"/>
                <w:szCs w:val="24"/>
              </w:rPr>
              <w:t>1</w:t>
            </w:r>
            <w:r w:rsidR="00094095" w:rsidRPr="00171A7E">
              <w:rPr>
                <w:rFonts w:ascii="Times New Roman" w:eastAsia="宋体" w:hAnsi="Times New Roman" w:cs="Times New Roman"/>
                <w:sz w:val="24"/>
                <w:szCs w:val="24"/>
              </w:rPr>
              <w:t>、</w:t>
            </w:r>
            <w:r w:rsidR="00094095" w:rsidRPr="00FA4325">
              <w:rPr>
                <w:rFonts w:ascii="Times New Roman" w:eastAsia="宋体" w:hAnsi="宋体" w:cs="Times New Roman"/>
                <w:sz w:val="24"/>
                <w:szCs w:val="24"/>
              </w:rPr>
              <w:t>在同一相关市场，所有参与集中的经营者所占市场份额之和小于</w:t>
            </w:r>
            <w:r w:rsidR="00094095" w:rsidRPr="00FA4325">
              <w:rPr>
                <w:rFonts w:ascii="Times New Roman" w:eastAsia="宋体" w:hAnsi="Times New Roman" w:cs="Times New Roman"/>
                <w:sz w:val="24"/>
                <w:szCs w:val="24"/>
              </w:rPr>
              <w:t>15%</w:t>
            </w:r>
            <w:r w:rsidR="00094095" w:rsidRPr="00FA4325">
              <w:rPr>
                <w:rFonts w:ascii="Times New Roman" w:eastAsia="宋体" w:hAnsi="宋体" w:cs="Times New Roman"/>
                <w:sz w:val="24"/>
                <w:szCs w:val="24"/>
              </w:rPr>
              <w:t>。</w:t>
            </w:r>
          </w:p>
        </w:tc>
      </w:tr>
      <w:tr w:rsidR="00094095" w:rsidRPr="00FA4325" w14:paraId="6263F3B7" w14:textId="77777777" w:rsidTr="00AB0B34">
        <w:trPr>
          <w:trHeight w:val="330"/>
        </w:trPr>
        <w:tc>
          <w:tcPr>
            <w:tcW w:w="1809" w:type="dxa"/>
            <w:vMerge/>
            <w:shd w:val="clear" w:color="auto" w:fill="D9D9D9" w:themeFill="background1" w:themeFillShade="D9"/>
          </w:tcPr>
          <w:p w14:paraId="70961DBA" w14:textId="77777777"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14:paraId="49FF4E19" w14:textId="77777777"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2</w:t>
            </w:r>
            <w:r w:rsidR="00094095" w:rsidRPr="00FA4325">
              <w:rPr>
                <w:rFonts w:ascii="Times New Roman" w:eastAsia="宋体" w:hAnsi="宋体" w:cs="Times New Roman"/>
                <w:sz w:val="24"/>
                <w:szCs w:val="24"/>
              </w:rPr>
              <w:t>、存在上下游关系的参与集中的经营者，在上下游市场所占的市场份额均小于</w:t>
            </w:r>
            <w:r w:rsidR="00094095" w:rsidRPr="00FA4325">
              <w:rPr>
                <w:rFonts w:ascii="Times New Roman" w:eastAsia="宋体" w:hAnsi="Times New Roman" w:cs="Times New Roman"/>
                <w:sz w:val="24"/>
                <w:szCs w:val="24"/>
              </w:rPr>
              <w:t>25%</w:t>
            </w:r>
            <w:r w:rsidR="00094095" w:rsidRPr="00FA4325">
              <w:rPr>
                <w:rFonts w:ascii="Times New Roman" w:eastAsia="宋体" w:hAnsi="宋体" w:cs="Times New Roman"/>
                <w:sz w:val="24"/>
                <w:szCs w:val="24"/>
              </w:rPr>
              <w:t>。</w:t>
            </w:r>
          </w:p>
        </w:tc>
      </w:tr>
      <w:tr w:rsidR="00094095" w:rsidRPr="00FA4325" w14:paraId="24615330" w14:textId="77777777" w:rsidTr="00AB0B34">
        <w:trPr>
          <w:trHeight w:val="285"/>
        </w:trPr>
        <w:tc>
          <w:tcPr>
            <w:tcW w:w="1809" w:type="dxa"/>
            <w:vMerge/>
            <w:shd w:val="clear" w:color="auto" w:fill="D9D9D9" w:themeFill="background1" w:themeFillShade="D9"/>
          </w:tcPr>
          <w:p w14:paraId="2F899D21" w14:textId="77777777"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14:paraId="4D5DD92C" w14:textId="0E449028" w:rsidR="00094095" w:rsidRPr="00FA4325" w:rsidRDefault="004A0206" w:rsidP="005B52E5">
            <w:pPr>
              <w:spacing w:beforeLines="50" w:before="156" w:afterLines="50" w:after="156" w:line="400" w:lineRule="exact"/>
              <w:rPr>
                <w:rFonts w:ascii="Times New Roman" w:eastAsia="宋体" w:hAnsi="Times New Roman" w:cs="Times New Roman"/>
                <w:sz w:val="24"/>
                <w:szCs w:val="24"/>
              </w:rPr>
            </w:pPr>
            <w:r w:rsidRPr="00171A7E">
              <w:rPr>
                <w:rFonts w:ascii="Times New Roman" w:eastAsia="宋体" w:hAnsi="Times New Roman" w:cs="Times New Roman"/>
                <w:sz w:val="24"/>
                <w:szCs w:val="24"/>
              </w:rPr>
              <w:sym w:font="Wingdings" w:char="F0FE"/>
            </w:r>
            <w:r w:rsidR="00094095" w:rsidRPr="00FA4325">
              <w:rPr>
                <w:rFonts w:ascii="Times New Roman" w:eastAsia="宋体" w:hAnsi="Times New Roman" w:cs="Times New Roman"/>
                <w:sz w:val="24"/>
                <w:szCs w:val="24"/>
              </w:rPr>
              <w:t>3</w:t>
            </w:r>
            <w:r w:rsidR="00094095" w:rsidRPr="00FA4325">
              <w:rPr>
                <w:rFonts w:ascii="Times New Roman" w:eastAsia="宋体" w:hAnsi="宋体" w:cs="Times New Roman"/>
                <w:sz w:val="24"/>
                <w:szCs w:val="24"/>
              </w:rPr>
              <w:t>、不在同一相关市场、也不存在上下游关系的参与集中的经营</w:t>
            </w:r>
            <w:r w:rsidR="00094095" w:rsidRPr="00FA4325">
              <w:rPr>
                <w:rFonts w:ascii="Times New Roman" w:eastAsia="宋体" w:hAnsi="宋体" w:cs="Times New Roman"/>
                <w:sz w:val="24"/>
                <w:szCs w:val="24"/>
              </w:rPr>
              <w:lastRenderedPageBreak/>
              <w:t>者，在与交易有关的每个市场所占的份额均小于</w:t>
            </w:r>
            <w:r w:rsidR="00094095" w:rsidRPr="00FA4325">
              <w:rPr>
                <w:rFonts w:ascii="Times New Roman" w:eastAsia="宋体" w:hAnsi="Times New Roman" w:cs="Times New Roman"/>
                <w:sz w:val="24"/>
                <w:szCs w:val="24"/>
              </w:rPr>
              <w:t>25%</w:t>
            </w:r>
            <w:r w:rsidR="00094095" w:rsidRPr="00FA4325">
              <w:rPr>
                <w:rFonts w:ascii="Times New Roman" w:eastAsia="宋体" w:hAnsi="宋体" w:cs="Times New Roman"/>
                <w:sz w:val="24"/>
                <w:szCs w:val="24"/>
              </w:rPr>
              <w:t>。</w:t>
            </w:r>
          </w:p>
        </w:tc>
      </w:tr>
      <w:tr w:rsidR="00094095" w:rsidRPr="00FA4325" w14:paraId="6F81272D" w14:textId="77777777" w:rsidTr="00AB0B34">
        <w:trPr>
          <w:trHeight w:val="870"/>
        </w:trPr>
        <w:tc>
          <w:tcPr>
            <w:tcW w:w="1809" w:type="dxa"/>
            <w:vMerge/>
            <w:shd w:val="clear" w:color="auto" w:fill="D9D9D9" w:themeFill="background1" w:themeFillShade="D9"/>
          </w:tcPr>
          <w:p w14:paraId="44C128FC" w14:textId="77777777"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14:paraId="414E2F80" w14:textId="77777777"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4</w:t>
            </w:r>
            <w:r w:rsidR="00094095" w:rsidRPr="00FA4325">
              <w:rPr>
                <w:rFonts w:ascii="Times New Roman" w:eastAsia="宋体" w:hAnsi="宋体" w:cs="Times New Roman"/>
                <w:sz w:val="24"/>
                <w:szCs w:val="24"/>
              </w:rPr>
              <w:t>、参与集中的经营者在中国境外设立合营企业，合营企业不在中国境内从事经济活动。</w:t>
            </w:r>
          </w:p>
        </w:tc>
      </w:tr>
      <w:tr w:rsidR="00094095" w:rsidRPr="00FA4325" w14:paraId="06DD3C57" w14:textId="77777777" w:rsidTr="00AB0B34">
        <w:trPr>
          <w:trHeight w:val="264"/>
        </w:trPr>
        <w:tc>
          <w:tcPr>
            <w:tcW w:w="1809" w:type="dxa"/>
            <w:vMerge/>
            <w:shd w:val="clear" w:color="auto" w:fill="D9D9D9" w:themeFill="background1" w:themeFillShade="D9"/>
          </w:tcPr>
          <w:p w14:paraId="48C8D5D8" w14:textId="77777777"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14:paraId="5BC099E8" w14:textId="77777777"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5</w:t>
            </w:r>
            <w:r w:rsidR="00094095" w:rsidRPr="00FA4325">
              <w:rPr>
                <w:rFonts w:ascii="Times New Roman" w:eastAsia="宋体" w:hAnsi="宋体" w:cs="Times New Roman"/>
                <w:sz w:val="24"/>
                <w:szCs w:val="24"/>
              </w:rPr>
              <w:t>、参与集中的经营者收购境外企业股权或资产的，该境外企业不在中国境内从事经济活动。</w:t>
            </w:r>
          </w:p>
        </w:tc>
      </w:tr>
      <w:tr w:rsidR="00094095" w:rsidRPr="00FA4325" w14:paraId="74A6FC25" w14:textId="77777777" w:rsidTr="00AB0B34">
        <w:trPr>
          <w:trHeight w:val="345"/>
        </w:trPr>
        <w:tc>
          <w:tcPr>
            <w:tcW w:w="1809" w:type="dxa"/>
            <w:vMerge/>
            <w:shd w:val="clear" w:color="auto" w:fill="D9D9D9" w:themeFill="background1" w:themeFillShade="D9"/>
          </w:tcPr>
          <w:p w14:paraId="70608E06" w14:textId="77777777" w:rsidR="00094095" w:rsidRPr="00FA4325" w:rsidRDefault="00094095" w:rsidP="00AB0B34">
            <w:pPr>
              <w:spacing w:line="500" w:lineRule="exact"/>
              <w:rPr>
                <w:rFonts w:ascii="Times New Roman" w:eastAsia="宋体" w:hAnsi="Times New Roman" w:cs="Times New Roman"/>
                <w:sz w:val="24"/>
                <w:szCs w:val="24"/>
              </w:rPr>
            </w:pPr>
          </w:p>
        </w:tc>
        <w:tc>
          <w:tcPr>
            <w:tcW w:w="6949" w:type="dxa"/>
            <w:gridSpan w:val="2"/>
          </w:tcPr>
          <w:p w14:paraId="433573C4" w14:textId="77777777" w:rsidR="00094095" w:rsidRPr="00FA4325" w:rsidRDefault="00C05A5C" w:rsidP="005B52E5">
            <w:pPr>
              <w:spacing w:beforeLines="50" w:before="156" w:afterLines="50" w:after="156" w:line="400" w:lineRule="exact"/>
              <w:rPr>
                <w:rFonts w:ascii="Times New Roman" w:eastAsia="宋体" w:hAnsi="Times New Roman" w:cs="Times New Roman"/>
                <w:sz w:val="24"/>
                <w:szCs w:val="24"/>
              </w:rPr>
            </w:pPr>
            <w:r w:rsidRPr="00C05A5C">
              <w:rPr>
                <w:rFonts w:ascii="Times New Roman" w:eastAsia="宋体" w:hAnsi="Times New Roman" w:cs="Times New Roman"/>
                <w:sz w:val="36"/>
                <w:szCs w:val="36"/>
              </w:rPr>
              <w:t>□</w:t>
            </w:r>
            <w:r w:rsidR="00094095" w:rsidRPr="00FA4325">
              <w:rPr>
                <w:rFonts w:ascii="Times New Roman" w:eastAsia="宋体" w:hAnsi="Times New Roman" w:cs="Times New Roman"/>
                <w:sz w:val="24"/>
                <w:szCs w:val="24"/>
              </w:rPr>
              <w:t>6</w:t>
            </w:r>
            <w:r w:rsidR="00094095" w:rsidRPr="00FA4325">
              <w:rPr>
                <w:rFonts w:ascii="Times New Roman" w:eastAsia="宋体" w:hAnsi="宋体" w:cs="Times New Roman"/>
                <w:sz w:val="24"/>
                <w:szCs w:val="24"/>
              </w:rPr>
              <w:t>、由两个以上的经营者共同控制的合营企业，通过集中被其中一个或一个以上经营者控制。</w:t>
            </w:r>
          </w:p>
        </w:tc>
      </w:tr>
      <w:tr w:rsidR="00094095" w:rsidRPr="00FA4325" w14:paraId="16EF7FE6" w14:textId="77777777" w:rsidTr="00F97355">
        <w:tc>
          <w:tcPr>
            <w:tcW w:w="1809" w:type="dxa"/>
            <w:shd w:val="clear" w:color="auto" w:fill="D9D9D9" w:themeFill="background1" w:themeFillShade="D9"/>
            <w:vAlign w:val="center"/>
          </w:tcPr>
          <w:p w14:paraId="4523FE65" w14:textId="77777777" w:rsidR="00094095" w:rsidRPr="00FA4325" w:rsidRDefault="00094095" w:rsidP="00F97355">
            <w:pPr>
              <w:widowControl/>
              <w:snapToGrid w:val="0"/>
              <w:spacing w:beforeLines="50" w:before="156" w:afterLines="50" w:after="156" w:line="400" w:lineRule="exact"/>
              <w:rPr>
                <w:rFonts w:ascii="Times New Roman" w:eastAsia="宋体" w:hAnsi="Times New Roman" w:cs="Times New Roman"/>
                <w:sz w:val="24"/>
                <w:szCs w:val="24"/>
              </w:rPr>
            </w:pPr>
            <w:r w:rsidRPr="00275A3D">
              <w:rPr>
                <w:rFonts w:ascii="Times New Roman" w:eastAsia="宋体" w:hAnsi="Times New Roman" w:cs="Times New Roman"/>
                <w:sz w:val="24"/>
                <w:szCs w:val="24"/>
              </w:rPr>
              <w:t>备注</w:t>
            </w:r>
          </w:p>
        </w:tc>
        <w:tc>
          <w:tcPr>
            <w:tcW w:w="6949" w:type="dxa"/>
            <w:gridSpan w:val="2"/>
          </w:tcPr>
          <w:p w14:paraId="45D72BDB" w14:textId="77777777" w:rsidR="004A0206" w:rsidRPr="004A0206" w:rsidRDefault="004A0206" w:rsidP="004A0206">
            <w:pPr>
              <w:widowControl/>
              <w:snapToGrid w:val="0"/>
              <w:spacing w:beforeLines="50" w:before="156" w:afterLines="50" w:after="156" w:line="400" w:lineRule="exact"/>
              <w:jc w:val="left"/>
              <w:rPr>
                <w:rFonts w:ascii="Times New Roman" w:eastAsia="宋体" w:hAnsi="Times New Roman" w:cs="Times New Roman"/>
                <w:sz w:val="24"/>
                <w:szCs w:val="24"/>
              </w:rPr>
            </w:pPr>
            <w:r w:rsidRPr="004A0206">
              <w:rPr>
                <w:rFonts w:ascii="Times New Roman" w:eastAsia="宋体" w:hAnsi="Times New Roman" w:cs="Times New Roman" w:hint="eastAsia"/>
                <w:sz w:val="24"/>
                <w:szCs w:val="24"/>
              </w:rPr>
              <w:t>本次交易涉及以下相关市场：</w:t>
            </w:r>
          </w:p>
          <w:p w14:paraId="6ABA4E4B" w14:textId="2AA4203D" w:rsidR="004A0206" w:rsidRPr="004A0206" w:rsidRDefault="00CE6922" w:rsidP="004A0206">
            <w:pPr>
              <w:widowControl/>
              <w:snapToGrid w:val="0"/>
              <w:spacing w:beforeLines="50" w:before="156" w:afterLines="50" w:after="156" w:line="400" w:lineRule="exact"/>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相关</w:t>
            </w:r>
            <w:r w:rsidR="004A0206" w:rsidRPr="004A0206">
              <w:rPr>
                <w:rFonts w:ascii="Times New Roman" w:eastAsia="宋体" w:hAnsi="Times New Roman" w:cs="Times New Roman"/>
                <w:sz w:val="24"/>
                <w:szCs w:val="24"/>
              </w:rPr>
              <w:t>产品市场：</w:t>
            </w:r>
            <w:r w:rsidR="004A0206" w:rsidRPr="004A0206">
              <w:rPr>
                <w:rFonts w:ascii="Times New Roman" w:eastAsia="宋体" w:hAnsi="Times New Roman" w:cs="Times New Roman" w:hint="eastAsia"/>
                <w:sz w:val="24"/>
                <w:szCs w:val="24"/>
              </w:rPr>
              <w:t>公路工程建筑施工服务</w:t>
            </w:r>
          </w:p>
          <w:p w14:paraId="085A7601" w14:textId="130D374A" w:rsidR="004A0206" w:rsidRPr="004A0206" w:rsidRDefault="00CE6922" w:rsidP="004A0206">
            <w:pPr>
              <w:widowControl/>
              <w:snapToGrid w:val="0"/>
              <w:spacing w:beforeLines="50" w:before="156" w:afterLines="50" w:after="156" w:line="400" w:lineRule="exact"/>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相关</w:t>
            </w:r>
            <w:r w:rsidR="004A0206" w:rsidRPr="004A0206">
              <w:rPr>
                <w:rFonts w:ascii="Times New Roman" w:eastAsia="宋体" w:hAnsi="Times New Roman" w:cs="Times New Roman"/>
                <w:sz w:val="24"/>
                <w:szCs w:val="24"/>
              </w:rPr>
              <w:t>地域市场：</w:t>
            </w:r>
            <w:r w:rsidR="004A0206">
              <w:rPr>
                <w:rFonts w:ascii="Times New Roman" w:eastAsia="宋体" w:hAnsi="Times New Roman" w:cs="Times New Roman" w:hint="eastAsia"/>
                <w:sz w:val="24"/>
                <w:szCs w:val="24"/>
              </w:rPr>
              <w:t>中国国内</w:t>
            </w:r>
          </w:p>
          <w:p w14:paraId="6C087031" w14:textId="55D990CA" w:rsidR="004A0206" w:rsidRDefault="004A0206" w:rsidP="004A0206">
            <w:pPr>
              <w:widowControl/>
              <w:snapToGrid w:val="0"/>
              <w:spacing w:beforeLines="50" w:before="156" w:afterLines="50" w:after="156" w:line="400" w:lineRule="exact"/>
              <w:jc w:val="left"/>
              <w:rPr>
                <w:rFonts w:ascii="Times New Roman" w:eastAsia="宋体" w:hAnsi="Times New Roman" w:cs="Times New Roman"/>
                <w:sz w:val="24"/>
                <w:szCs w:val="24"/>
              </w:rPr>
            </w:pPr>
            <w:r w:rsidRPr="004A0206">
              <w:rPr>
                <w:rFonts w:ascii="Times New Roman" w:eastAsia="宋体" w:hAnsi="Times New Roman" w:cs="Times New Roman"/>
                <w:sz w:val="24"/>
                <w:szCs w:val="24"/>
              </w:rPr>
              <w:t>市场份额：</w:t>
            </w:r>
            <w:r>
              <w:rPr>
                <w:rFonts w:ascii="Times New Roman" w:eastAsia="宋体" w:hAnsi="Times New Roman" w:cs="Times New Roman" w:hint="eastAsia"/>
                <w:sz w:val="24"/>
                <w:szCs w:val="24"/>
              </w:rPr>
              <w:t>山东路桥：</w:t>
            </w:r>
            <w:r w:rsidR="00CE6922" w:rsidRPr="00A64E31">
              <w:rPr>
                <w:rFonts w:ascii="Times New Roman" w:eastAsia="宋体" w:hAnsi="Times New Roman" w:cs="Times New Roman" w:hint="eastAsia"/>
                <w:sz w:val="24"/>
                <w:szCs w:val="24"/>
              </w:rPr>
              <w:t>[0-</w:t>
            </w:r>
            <w:r w:rsidR="00CE6922">
              <w:rPr>
                <w:rFonts w:ascii="Times New Roman" w:eastAsia="宋体" w:hAnsi="Times New Roman" w:cs="Times New Roman"/>
                <w:sz w:val="24"/>
                <w:szCs w:val="24"/>
              </w:rPr>
              <w:t>2</w:t>
            </w:r>
            <w:r w:rsidR="00CE6922" w:rsidRPr="00A64E31">
              <w:rPr>
                <w:rFonts w:ascii="Times New Roman" w:eastAsia="宋体" w:hAnsi="Times New Roman" w:cs="Times New Roman" w:hint="eastAsia"/>
                <w:sz w:val="24"/>
                <w:szCs w:val="24"/>
              </w:rPr>
              <w:t>%]</w:t>
            </w:r>
            <w:r w:rsidR="00CE6922" w:rsidRPr="00A64E31">
              <w:rPr>
                <w:rFonts w:ascii="Times New Roman" w:eastAsia="宋体" w:hAnsi="Times New Roman" w:cs="Times New Roman" w:hint="eastAsia"/>
                <w:sz w:val="24"/>
                <w:szCs w:val="24"/>
              </w:rPr>
              <w:t>；</w:t>
            </w:r>
          </w:p>
          <w:p w14:paraId="139DC7FA" w14:textId="7D0ED816" w:rsidR="00CE6922" w:rsidRDefault="00CE6922" w:rsidP="00CE6922">
            <w:pPr>
              <w:widowControl/>
              <w:snapToGrid w:val="0"/>
              <w:spacing w:beforeLines="50" w:before="156" w:afterLines="50" w:after="156" w:line="400" w:lineRule="exact"/>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相关</w:t>
            </w:r>
            <w:r w:rsidRPr="004A0206">
              <w:rPr>
                <w:rFonts w:ascii="Times New Roman" w:eastAsia="宋体" w:hAnsi="Times New Roman" w:cs="Times New Roman"/>
                <w:sz w:val="24"/>
                <w:szCs w:val="24"/>
              </w:rPr>
              <w:t>产品市场：</w:t>
            </w:r>
            <w:r w:rsidRPr="00CE6922">
              <w:rPr>
                <w:rFonts w:ascii="Times New Roman" w:eastAsia="宋体" w:hAnsi="Times New Roman" w:cs="Times New Roman" w:hint="eastAsia"/>
                <w:sz w:val="24"/>
                <w:szCs w:val="24"/>
              </w:rPr>
              <w:t>城市轨道交通工程建筑施工服务</w:t>
            </w:r>
          </w:p>
          <w:p w14:paraId="19A00301" w14:textId="3D84CBC3" w:rsidR="00CE6922" w:rsidRPr="004A0206" w:rsidRDefault="00CE6922" w:rsidP="00CE6922">
            <w:pPr>
              <w:widowControl/>
              <w:snapToGrid w:val="0"/>
              <w:spacing w:beforeLines="50" w:before="156" w:afterLines="50" w:after="156" w:line="400" w:lineRule="exact"/>
              <w:jc w:val="left"/>
              <w:rPr>
                <w:rFonts w:ascii="Times New Roman" w:eastAsia="宋体" w:hAnsi="Times New Roman" w:cs="Times New Roman" w:hint="eastAsia"/>
                <w:sz w:val="24"/>
                <w:szCs w:val="24"/>
              </w:rPr>
            </w:pPr>
            <w:r>
              <w:rPr>
                <w:rFonts w:ascii="Times New Roman" w:eastAsia="宋体" w:hAnsi="Times New Roman" w:cs="Times New Roman" w:hint="eastAsia"/>
                <w:sz w:val="24"/>
                <w:szCs w:val="24"/>
              </w:rPr>
              <w:t>相关</w:t>
            </w:r>
            <w:r w:rsidRPr="004A0206">
              <w:rPr>
                <w:rFonts w:ascii="Times New Roman" w:eastAsia="宋体" w:hAnsi="Times New Roman" w:cs="Times New Roman"/>
                <w:sz w:val="24"/>
                <w:szCs w:val="24"/>
              </w:rPr>
              <w:t>地域市场：</w:t>
            </w:r>
            <w:r>
              <w:rPr>
                <w:rFonts w:ascii="Times New Roman" w:eastAsia="宋体" w:hAnsi="Times New Roman" w:cs="Times New Roman" w:hint="eastAsia"/>
                <w:sz w:val="24"/>
                <w:szCs w:val="24"/>
              </w:rPr>
              <w:t>中国国内</w:t>
            </w:r>
          </w:p>
          <w:p w14:paraId="244C1C89" w14:textId="5648319C" w:rsidR="00855AAA" w:rsidRPr="00A64E31" w:rsidRDefault="00CE6922" w:rsidP="004A0206">
            <w:pPr>
              <w:widowControl/>
              <w:snapToGrid w:val="0"/>
              <w:spacing w:beforeLines="50" w:before="156" w:afterLines="50" w:after="156" w:line="400" w:lineRule="exact"/>
              <w:jc w:val="left"/>
              <w:rPr>
                <w:rFonts w:ascii="Times New Roman" w:eastAsia="宋体" w:hAnsi="Times New Roman" w:cs="Times New Roman" w:hint="eastAsia"/>
                <w:sz w:val="24"/>
                <w:szCs w:val="24"/>
              </w:rPr>
            </w:pPr>
            <w:r w:rsidRPr="004A0206">
              <w:rPr>
                <w:rFonts w:ascii="Times New Roman" w:eastAsia="宋体" w:hAnsi="Times New Roman" w:cs="Times New Roman"/>
                <w:sz w:val="24"/>
                <w:szCs w:val="24"/>
              </w:rPr>
              <w:t>市场份额：</w:t>
            </w:r>
            <w:r>
              <w:rPr>
                <w:rFonts w:ascii="Times New Roman" w:eastAsia="宋体" w:hAnsi="Times New Roman" w:cs="Times New Roman" w:hint="eastAsia"/>
                <w:sz w:val="24"/>
                <w:szCs w:val="24"/>
              </w:rPr>
              <w:t>中铁隆</w:t>
            </w:r>
            <w:r>
              <w:rPr>
                <w:rFonts w:ascii="Times New Roman" w:eastAsia="宋体" w:hAnsi="Times New Roman" w:cs="Times New Roman" w:hint="eastAsia"/>
                <w:sz w:val="24"/>
                <w:szCs w:val="24"/>
              </w:rPr>
              <w:t>：</w:t>
            </w:r>
            <w:r w:rsidRPr="00A64E31">
              <w:rPr>
                <w:rFonts w:ascii="Times New Roman" w:eastAsia="宋体" w:hAnsi="Times New Roman" w:cs="Times New Roman" w:hint="eastAsia"/>
                <w:sz w:val="24"/>
                <w:szCs w:val="24"/>
              </w:rPr>
              <w:t>[0-</w:t>
            </w:r>
            <w:r>
              <w:rPr>
                <w:rFonts w:ascii="Times New Roman" w:eastAsia="宋体" w:hAnsi="Times New Roman" w:cs="Times New Roman"/>
                <w:sz w:val="24"/>
                <w:szCs w:val="24"/>
              </w:rPr>
              <w:t>1</w:t>
            </w:r>
            <w:r w:rsidRPr="00A64E31">
              <w:rPr>
                <w:rFonts w:ascii="Times New Roman" w:eastAsia="宋体" w:hAnsi="Times New Roman" w:cs="Times New Roman" w:hint="eastAsia"/>
                <w:sz w:val="24"/>
                <w:szCs w:val="24"/>
              </w:rPr>
              <w:t>%]</w:t>
            </w:r>
            <w:r w:rsidRPr="00A64E31">
              <w:rPr>
                <w:rFonts w:ascii="Times New Roman" w:eastAsia="宋体" w:hAnsi="Times New Roman" w:cs="Times New Roman" w:hint="eastAsia"/>
                <w:sz w:val="24"/>
                <w:szCs w:val="24"/>
              </w:rPr>
              <w:t>；</w:t>
            </w:r>
          </w:p>
        </w:tc>
      </w:tr>
    </w:tbl>
    <w:p w14:paraId="206C7A46" w14:textId="66FB8223" w:rsidR="00E92062" w:rsidRPr="00F97355" w:rsidRDefault="00E92062" w:rsidP="00ED1CF4">
      <w:pPr>
        <w:spacing w:line="360" w:lineRule="auto"/>
        <w:ind w:firstLineChars="200" w:firstLine="560"/>
        <w:rPr>
          <w:rFonts w:asciiTheme="minorEastAsia" w:hAnsiTheme="minorEastAsia"/>
          <w:sz w:val="28"/>
          <w:szCs w:val="28"/>
        </w:rPr>
      </w:pPr>
    </w:p>
    <w:sectPr w:rsidR="00E92062" w:rsidRPr="00F97355" w:rsidSect="00701E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67C85B" w14:textId="77777777" w:rsidR="00AD625B" w:rsidRDefault="00AD625B" w:rsidP="00094095">
      <w:r>
        <w:separator/>
      </w:r>
    </w:p>
  </w:endnote>
  <w:endnote w:type="continuationSeparator" w:id="0">
    <w:p w14:paraId="110BBBD0" w14:textId="77777777" w:rsidR="00AD625B" w:rsidRDefault="00AD625B"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8EECE5" w14:textId="77777777" w:rsidR="00AD625B" w:rsidRDefault="00AD625B" w:rsidP="00094095">
      <w:r>
        <w:separator/>
      </w:r>
    </w:p>
  </w:footnote>
  <w:footnote w:type="continuationSeparator" w:id="0">
    <w:p w14:paraId="445A50E3" w14:textId="77777777" w:rsidR="00AD625B" w:rsidRDefault="00AD625B"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606953"/>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376668"/>
    <w:multiLevelType w:val="hybridMultilevel"/>
    <w:tmpl w:val="F976BD22"/>
    <w:lvl w:ilvl="0" w:tplc="FE1AB7C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C67C73"/>
    <w:multiLevelType w:val="hybridMultilevel"/>
    <w:tmpl w:val="33F6BA28"/>
    <w:lvl w:ilvl="0" w:tplc="6FC421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05696"/>
    <w:rsid w:val="00030D29"/>
    <w:rsid w:val="00033A90"/>
    <w:rsid w:val="00036704"/>
    <w:rsid w:val="00045B51"/>
    <w:rsid w:val="000723FA"/>
    <w:rsid w:val="00094095"/>
    <w:rsid w:val="000B3DCC"/>
    <w:rsid w:val="000E5321"/>
    <w:rsid w:val="00106574"/>
    <w:rsid w:val="001524B9"/>
    <w:rsid w:val="001645EA"/>
    <w:rsid w:val="00171A7E"/>
    <w:rsid w:val="001767D1"/>
    <w:rsid w:val="001F5F0B"/>
    <w:rsid w:val="002019A9"/>
    <w:rsid w:val="00207E74"/>
    <w:rsid w:val="00241CE5"/>
    <w:rsid w:val="00246AC6"/>
    <w:rsid w:val="00275A3D"/>
    <w:rsid w:val="00293095"/>
    <w:rsid w:val="002A5F57"/>
    <w:rsid w:val="002D762D"/>
    <w:rsid w:val="002F1D1F"/>
    <w:rsid w:val="00311F24"/>
    <w:rsid w:val="00321DDB"/>
    <w:rsid w:val="0036691B"/>
    <w:rsid w:val="003D3A30"/>
    <w:rsid w:val="00426458"/>
    <w:rsid w:val="00430537"/>
    <w:rsid w:val="00451734"/>
    <w:rsid w:val="00452171"/>
    <w:rsid w:val="00462174"/>
    <w:rsid w:val="004A0206"/>
    <w:rsid w:val="004A1DAC"/>
    <w:rsid w:val="004A7139"/>
    <w:rsid w:val="004D47CE"/>
    <w:rsid w:val="004E77F9"/>
    <w:rsid w:val="005241C9"/>
    <w:rsid w:val="00535D98"/>
    <w:rsid w:val="00546866"/>
    <w:rsid w:val="00554252"/>
    <w:rsid w:val="00576E58"/>
    <w:rsid w:val="00580FA9"/>
    <w:rsid w:val="00581D9A"/>
    <w:rsid w:val="005B52E5"/>
    <w:rsid w:val="005B65F3"/>
    <w:rsid w:val="005F1B7A"/>
    <w:rsid w:val="006276BC"/>
    <w:rsid w:val="00634708"/>
    <w:rsid w:val="00635C19"/>
    <w:rsid w:val="00637C57"/>
    <w:rsid w:val="006451C2"/>
    <w:rsid w:val="006652D0"/>
    <w:rsid w:val="006846BF"/>
    <w:rsid w:val="00685065"/>
    <w:rsid w:val="006957F3"/>
    <w:rsid w:val="006A6AC4"/>
    <w:rsid w:val="006E3B82"/>
    <w:rsid w:val="006F7853"/>
    <w:rsid w:val="00701EA9"/>
    <w:rsid w:val="00720402"/>
    <w:rsid w:val="00757FB5"/>
    <w:rsid w:val="007722D1"/>
    <w:rsid w:val="00786977"/>
    <w:rsid w:val="00790721"/>
    <w:rsid w:val="007B16FF"/>
    <w:rsid w:val="007B6451"/>
    <w:rsid w:val="007D7231"/>
    <w:rsid w:val="007E5FD7"/>
    <w:rsid w:val="00840197"/>
    <w:rsid w:val="00855AAA"/>
    <w:rsid w:val="0087560B"/>
    <w:rsid w:val="008A3C40"/>
    <w:rsid w:val="009119FA"/>
    <w:rsid w:val="00922EB4"/>
    <w:rsid w:val="009426FB"/>
    <w:rsid w:val="009953F7"/>
    <w:rsid w:val="009B33D5"/>
    <w:rsid w:val="00A522F2"/>
    <w:rsid w:val="00A64E31"/>
    <w:rsid w:val="00A67336"/>
    <w:rsid w:val="00A827A2"/>
    <w:rsid w:val="00A837A6"/>
    <w:rsid w:val="00A95A4A"/>
    <w:rsid w:val="00AA0BA9"/>
    <w:rsid w:val="00AA2EDD"/>
    <w:rsid w:val="00AB0B34"/>
    <w:rsid w:val="00AB68C0"/>
    <w:rsid w:val="00AC5674"/>
    <w:rsid w:val="00AD5434"/>
    <w:rsid w:val="00AD625B"/>
    <w:rsid w:val="00AF2713"/>
    <w:rsid w:val="00AF57E8"/>
    <w:rsid w:val="00B14A60"/>
    <w:rsid w:val="00B34759"/>
    <w:rsid w:val="00B4623D"/>
    <w:rsid w:val="00B66B30"/>
    <w:rsid w:val="00B709A7"/>
    <w:rsid w:val="00B83847"/>
    <w:rsid w:val="00BA6397"/>
    <w:rsid w:val="00BB5805"/>
    <w:rsid w:val="00BB7E00"/>
    <w:rsid w:val="00BE2C6B"/>
    <w:rsid w:val="00BE3B3D"/>
    <w:rsid w:val="00C05A5C"/>
    <w:rsid w:val="00C45536"/>
    <w:rsid w:val="00CA3DFA"/>
    <w:rsid w:val="00CA4C4F"/>
    <w:rsid w:val="00CB768D"/>
    <w:rsid w:val="00CC1F71"/>
    <w:rsid w:val="00CD497E"/>
    <w:rsid w:val="00CE6922"/>
    <w:rsid w:val="00CF0CA9"/>
    <w:rsid w:val="00D60D14"/>
    <w:rsid w:val="00D74C01"/>
    <w:rsid w:val="00D97082"/>
    <w:rsid w:val="00DA1B9F"/>
    <w:rsid w:val="00DD5F11"/>
    <w:rsid w:val="00DE5CC2"/>
    <w:rsid w:val="00E157A0"/>
    <w:rsid w:val="00E21DF0"/>
    <w:rsid w:val="00E256CD"/>
    <w:rsid w:val="00E47FEA"/>
    <w:rsid w:val="00E5321F"/>
    <w:rsid w:val="00E62773"/>
    <w:rsid w:val="00E6529B"/>
    <w:rsid w:val="00E679D3"/>
    <w:rsid w:val="00E92062"/>
    <w:rsid w:val="00E9231C"/>
    <w:rsid w:val="00E929CE"/>
    <w:rsid w:val="00E941FA"/>
    <w:rsid w:val="00ED1CF4"/>
    <w:rsid w:val="00EE4A8B"/>
    <w:rsid w:val="00F24435"/>
    <w:rsid w:val="00F52CDE"/>
    <w:rsid w:val="00F74B7D"/>
    <w:rsid w:val="00F87C1F"/>
    <w:rsid w:val="00F97355"/>
    <w:rsid w:val="00FA4325"/>
    <w:rsid w:val="00FA64CA"/>
    <w:rsid w:val="00FB1A80"/>
    <w:rsid w:val="00FB5B2B"/>
    <w:rsid w:val="00FC398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80F8A"/>
  <w15:docId w15:val="{1386E78A-FB89-4355-B3F2-BFCBD5BF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AB0B34"/>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AB0B34"/>
    <w:rPr>
      <w:sz w:val="18"/>
      <w:szCs w:val="18"/>
    </w:rPr>
  </w:style>
  <w:style w:type="paragraph" w:styleId="a9">
    <w:name w:val="footer"/>
    <w:basedOn w:val="a"/>
    <w:link w:val="aa"/>
    <w:uiPriority w:val="99"/>
    <w:unhideWhenUsed/>
    <w:rsid w:val="00AB0B34"/>
    <w:pPr>
      <w:tabs>
        <w:tab w:val="center" w:pos="4153"/>
        <w:tab w:val="right" w:pos="8306"/>
      </w:tabs>
      <w:snapToGrid w:val="0"/>
      <w:jc w:val="left"/>
    </w:pPr>
    <w:rPr>
      <w:sz w:val="18"/>
      <w:szCs w:val="18"/>
    </w:rPr>
  </w:style>
  <w:style w:type="character" w:customStyle="1" w:styleId="aa">
    <w:name w:val="页脚 字符"/>
    <w:basedOn w:val="a0"/>
    <w:link w:val="a9"/>
    <w:uiPriority w:val="99"/>
    <w:rsid w:val="00AB0B34"/>
    <w:rPr>
      <w:sz w:val="18"/>
      <w:szCs w:val="18"/>
    </w:rPr>
  </w:style>
  <w:style w:type="paragraph" w:styleId="ab">
    <w:name w:val="List Paragraph"/>
    <w:basedOn w:val="a"/>
    <w:uiPriority w:val="34"/>
    <w:qFormat/>
    <w:rsid w:val="00B4623D"/>
    <w:pPr>
      <w:ind w:firstLineChars="200" w:firstLine="420"/>
    </w:pPr>
  </w:style>
  <w:style w:type="character" w:styleId="ac">
    <w:name w:val="Hyperlink"/>
    <w:basedOn w:val="a0"/>
    <w:uiPriority w:val="99"/>
    <w:semiHidden/>
    <w:unhideWhenUsed/>
    <w:rsid w:val="00FA64CA"/>
    <w:rPr>
      <w:color w:val="0000FF"/>
      <w:u w:val="single"/>
    </w:rPr>
  </w:style>
  <w:style w:type="paragraph" w:styleId="ad">
    <w:name w:val="Balloon Text"/>
    <w:basedOn w:val="a"/>
    <w:link w:val="ae"/>
    <w:uiPriority w:val="99"/>
    <w:semiHidden/>
    <w:unhideWhenUsed/>
    <w:rsid w:val="00036704"/>
    <w:rPr>
      <w:sz w:val="18"/>
      <w:szCs w:val="18"/>
    </w:rPr>
  </w:style>
  <w:style w:type="character" w:customStyle="1" w:styleId="ae">
    <w:name w:val="批注框文本 字符"/>
    <w:basedOn w:val="a0"/>
    <w:link w:val="ad"/>
    <w:uiPriority w:val="99"/>
    <w:semiHidden/>
    <w:rsid w:val="000367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262725">
      <w:bodyDiv w:val="1"/>
      <w:marLeft w:val="0"/>
      <w:marRight w:val="0"/>
      <w:marTop w:val="0"/>
      <w:marBottom w:val="0"/>
      <w:divBdr>
        <w:top w:val="none" w:sz="0" w:space="0" w:color="auto"/>
        <w:left w:val="none" w:sz="0" w:space="0" w:color="auto"/>
        <w:bottom w:val="none" w:sz="0" w:space="0" w:color="auto"/>
        <w:right w:val="none" w:sz="0" w:space="0" w:color="auto"/>
      </w:divBdr>
      <w:divsChild>
        <w:div w:id="1298612230">
          <w:marLeft w:val="0"/>
          <w:marRight w:val="0"/>
          <w:marTop w:val="0"/>
          <w:marBottom w:val="0"/>
          <w:divBdr>
            <w:top w:val="none" w:sz="0" w:space="0" w:color="auto"/>
            <w:left w:val="none" w:sz="0" w:space="0" w:color="auto"/>
            <w:bottom w:val="none" w:sz="0" w:space="0" w:color="auto"/>
            <w:right w:val="none" w:sz="0" w:space="0" w:color="auto"/>
          </w:divBdr>
        </w:div>
        <w:div w:id="1025981081">
          <w:marLeft w:val="0"/>
          <w:marRight w:val="0"/>
          <w:marTop w:val="0"/>
          <w:marBottom w:val="0"/>
          <w:divBdr>
            <w:top w:val="none" w:sz="0" w:space="0" w:color="auto"/>
            <w:left w:val="none" w:sz="0" w:space="0" w:color="auto"/>
            <w:bottom w:val="none" w:sz="0" w:space="0" w:color="auto"/>
            <w:right w:val="none" w:sz="0" w:space="0" w:color="auto"/>
          </w:divBdr>
        </w:div>
      </w:divsChild>
    </w:div>
    <w:div w:id="761992699">
      <w:bodyDiv w:val="1"/>
      <w:marLeft w:val="0"/>
      <w:marRight w:val="0"/>
      <w:marTop w:val="0"/>
      <w:marBottom w:val="0"/>
      <w:divBdr>
        <w:top w:val="none" w:sz="0" w:space="0" w:color="auto"/>
        <w:left w:val="none" w:sz="0" w:space="0" w:color="auto"/>
        <w:bottom w:val="none" w:sz="0" w:space="0" w:color="auto"/>
        <w:right w:val="none" w:sz="0" w:space="0" w:color="auto"/>
      </w:divBdr>
      <w:divsChild>
        <w:div w:id="2016372676">
          <w:marLeft w:val="0"/>
          <w:marRight w:val="0"/>
          <w:marTop w:val="0"/>
          <w:marBottom w:val="0"/>
          <w:divBdr>
            <w:top w:val="none" w:sz="0" w:space="0" w:color="auto"/>
            <w:left w:val="none" w:sz="0" w:space="0" w:color="auto"/>
            <w:bottom w:val="none" w:sz="0" w:space="0" w:color="auto"/>
            <w:right w:val="none" w:sz="0" w:space="0" w:color="auto"/>
          </w:divBdr>
        </w:div>
        <w:div w:id="1824539831">
          <w:marLeft w:val="0"/>
          <w:marRight w:val="0"/>
          <w:marTop w:val="0"/>
          <w:marBottom w:val="0"/>
          <w:divBdr>
            <w:top w:val="none" w:sz="0" w:space="0" w:color="auto"/>
            <w:left w:val="none" w:sz="0" w:space="0" w:color="auto"/>
            <w:bottom w:val="none" w:sz="0" w:space="0" w:color="auto"/>
            <w:right w:val="none" w:sz="0" w:space="0" w:color="auto"/>
          </w:divBdr>
        </w:div>
      </w:divsChild>
    </w:div>
    <w:div w:id="131872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D1978B-E5B0-4D92-BFCB-F9CEDAE93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138</Words>
  <Characters>792</Characters>
  <Application>Microsoft Office Word</Application>
  <DocSecurity>0</DocSecurity>
  <Lines>6</Lines>
  <Paragraphs>1</Paragraphs>
  <ScaleCrop>false</ScaleCrop>
  <Company>Microsoft</Company>
  <LinksUpToDate>false</LinksUpToDate>
  <CharactersWithSpaces>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赵 衍广</cp:lastModifiedBy>
  <cp:revision>3</cp:revision>
  <dcterms:created xsi:type="dcterms:W3CDTF">2020-07-21T02:49:00Z</dcterms:created>
  <dcterms:modified xsi:type="dcterms:W3CDTF">2020-07-21T02:51:00Z</dcterms:modified>
</cp:coreProperties>
</file>