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b/>
          <w:sz w:val="22"/>
          <w:szCs w:val="22"/>
        </w:rPr>
      </w:pPr>
      <w:bookmarkStart w:id="0" w:name="_GoBack"/>
      <w:bookmarkEnd w:id="0"/>
      <w:r>
        <w:rPr>
          <w:b/>
          <w:sz w:val="22"/>
          <w:szCs w:val="22"/>
        </w:rPr>
        <w:t>经营者集中简易案件公示表</w:t>
      </w:r>
    </w:p>
    <w:tbl>
      <w:tblPr>
        <w:tblStyle w:val="11"/>
        <w:tblW w:w="96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2591"/>
        <w:gridCol w:w="51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40" w:type="dxa"/>
            <w:shd w:val="clear" w:color="auto" w:fill="D9D9D9"/>
            <w:vAlign w:val="center"/>
          </w:tcPr>
          <w:p>
            <w:pPr>
              <w:pStyle w:val="3"/>
              <w:jc w:val="left"/>
              <w:rPr>
                <w:rFonts w:cs="Times New Roman"/>
                <w:sz w:val="22"/>
                <w:szCs w:val="22"/>
                <w:lang w:val="en-US"/>
              </w:rPr>
            </w:pPr>
            <w:r>
              <w:rPr>
                <w:rFonts w:cs="Times New Roman"/>
                <w:sz w:val="22"/>
                <w:szCs w:val="22"/>
                <w:lang w:val="en-GB"/>
              </w:rPr>
              <w:t>案件名称</w:t>
            </w:r>
          </w:p>
        </w:tc>
        <w:tc>
          <w:tcPr>
            <w:tcW w:w="7694" w:type="dxa"/>
            <w:gridSpan w:val="2"/>
            <w:shd w:val="clear" w:color="auto" w:fill="auto"/>
          </w:tcPr>
          <w:p>
            <w:pPr>
              <w:autoSpaceDE w:val="0"/>
              <w:autoSpaceDN w:val="0"/>
              <w:adjustRightInd w:val="0"/>
              <w:rPr>
                <w:rFonts w:asciiTheme="majorBidi" w:hAnsiTheme="majorBidi" w:cstheme="majorBidi"/>
                <w:sz w:val="22"/>
                <w:szCs w:val="22"/>
              </w:rPr>
            </w:pPr>
            <w:r>
              <w:rPr>
                <w:rFonts w:hint="eastAsia" w:asciiTheme="majorBidi" w:hAnsiTheme="majorBidi" w:cstheme="majorBidi"/>
                <w:sz w:val="22"/>
                <w:szCs w:val="22"/>
              </w:rPr>
              <w:t>戴姆勒股份公司与瑞士再保险集团新设合营企业案 （“</w:t>
            </w:r>
            <w:r>
              <w:rPr>
                <w:rFonts w:hint="eastAsia" w:asciiTheme="majorBidi" w:hAnsiTheme="majorBidi" w:cstheme="majorBidi"/>
                <w:b/>
                <w:bCs/>
                <w:sz w:val="22"/>
                <w:szCs w:val="22"/>
              </w:rPr>
              <w:t>本交易</w:t>
            </w:r>
            <w:r>
              <w:rPr>
                <w:rFonts w:hint="eastAsia" w:asciiTheme="majorBidi" w:hAnsiTheme="majorBidi" w:cstheme="majorBidi"/>
                <w:sz w:val="22"/>
                <w:szCs w:val="22"/>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93" w:hRule="atLeast"/>
          <w:jc w:val="center"/>
        </w:trPr>
        <w:tc>
          <w:tcPr>
            <w:tcW w:w="1940" w:type="dxa"/>
            <w:shd w:val="clear" w:color="auto" w:fill="D9D9D9"/>
          </w:tcPr>
          <w:p>
            <w:pPr>
              <w:pStyle w:val="3"/>
              <w:rPr>
                <w:rFonts w:cs="Times New Roman"/>
                <w:sz w:val="22"/>
                <w:szCs w:val="22"/>
                <w:lang w:val="en-US" w:eastAsia="zh-CN"/>
              </w:rPr>
            </w:pPr>
            <w:r>
              <w:rPr>
                <w:rFonts w:cs="Times New Roman"/>
                <w:sz w:val="22"/>
                <w:szCs w:val="22"/>
                <w:lang w:val="en-GB" w:eastAsia="zh-CN"/>
              </w:rPr>
              <w:t>交易概况（限200字内）</w:t>
            </w:r>
          </w:p>
        </w:tc>
        <w:tc>
          <w:tcPr>
            <w:tcW w:w="7694" w:type="dxa"/>
            <w:gridSpan w:val="2"/>
            <w:shd w:val="clear" w:color="auto" w:fill="auto"/>
          </w:tcPr>
          <w:p>
            <w:pPr>
              <w:pStyle w:val="26"/>
              <w:numPr>
                <w:ilvl w:val="0"/>
                <w:numId w:val="0"/>
              </w:numPr>
              <w:spacing w:after="120"/>
              <w:rPr>
                <w:rFonts w:cs="Times New Roman"/>
                <w:sz w:val="22"/>
                <w:szCs w:val="22"/>
              </w:rPr>
            </w:pPr>
            <w:r>
              <w:rPr>
                <w:rFonts w:hint="eastAsia" w:cs="Times New Roman"/>
                <w:sz w:val="22"/>
                <w:szCs w:val="22"/>
              </w:rPr>
              <w:t>戴姆勒股份公司（“</w:t>
            </w:r>
            <w:r>
              <w:rPr>
                <w:rFonts w:hint="eastAsia" w:cs="Times New Roman"/>
                <w:b/>
                <w:bCs w:val="0"/>
                <w:sz w:val="22"/>
                <w:szCs w:val="22"/>
              </w:rPr>
              <w:t>戴姆勒</w:t>
            </w:r>
            <w:r>
              <w:rPr>
                <w:rFonts w:hint="eastAsia" w:cs="Times New Roman"/>
                <w:sz w:val="22"/>
                <w:szCs w:val="22"/>
              </w:rPr>
              <w:t>”）与瑞士再保险集团（“</w:t>
            </w:r>
            <w:r>
              <w:rPr>
                <w:rFonts w:hint="eastAsia" w:cs="Times New Roman"/>
                <w:b/>
                <w:bCs w:val="0"/>
                <w:sz w:val="22"/>
                <w:szCs w:val="22"/>
              </w:rPr>
              <w:t>瑞士再保险</w:t>
            </w:r>
            <w:r>
              <w:rPr>
                <w:rFonts w:hint="eastAsia" w:cs="Times New Roman"/>
                <w:sz w:val="22"/>
                <w:szCs w:val="22"/>
              </w:rPr>
              <w:t>”）希望战略合作伙伴,（通过其各自的子公司）新设一家合营企业（“</w:t>
            </w:r>
            <w:r>
              <w:rPr>
                <w:rFonts w:hint="eastAsia" w:cs="Times New Roman"/>
                <w:b/>
                <w:bCs w:val="0"/>
                <w:sz w:val="22"/>
                <w:szCs w:val="22"/>
              </w:rPr>
              <w:t>合营企业</w:t>
            </w:r>
            <w:r>
              <w:rPr>
                <w:rFonts w:hint="eastAsia" w:cs="Times New Roman"/>
                <w:sz w:val="22"/>
                <w:szCs w:val="22"/>
              </w:rPr>
              <w:t>”）并各自持有50%的股权。在本交易后，戴姆勒及瑞士再保险共同控制合营企业。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268" w:hRule="atLeast"/>
          <w:jc w:val="center"/>
        </w:trPr>
        <w:tc>
          <w:tcPr>
            <w:tcW w:w="1940" w:type="dxa"/>
            <w:vMerge w:val="restart"/>
            <w:shd w:val="clear" w:color="auto" w:fill="D9D9D9"/>
          </w:tcPr>
          <w:p>
            <w:pPr>
              <w:pStyle w:val="3"/>
              <w:rPr>
                <w:rFonts w:cs="Times New Roman"/>
                <w:sz w:val="22"/>
                <w:szCs w:val="22"/>
                <w:lang w:val="en-US" w:eastAsia="zh-CN"/>
              </w:rPr>
            </w:pPr>
            <w:r>
              <w:rPr>
                <w:rFonts w:cs="Times New Roman"/>
                <w:sz w:val="22"/>
                <w:szCs w:val="22"/>
                <w:lang w:val="en-GB" w:eastAsia="zh-CN"/>
              </w:rPr>
              <w:t>参与集中的经营者简介</w:t>
            </w:r>
          </w:p>
        </w:tc>
        <w:tc>
          <w:tcPr>
            <w:tcW w:w="2591" w:type="dxa"/>
            <w:shd w:val="clear" w:color="auto" w:fill="auto"/>
          </w:tcPr>
          <w:p>
            <w:pPr>
              <w:autoSpaceDE w:val="0"/>
              <w:autoSpaceDN w:val="0"/>
              <w:adjustRightInd w:val="0"/>
              <w:rPr>
                <w:rFonts w:asciiTheme="majorBidi" w:hAnsiTheme="majorBidi" w:cstheme="majorBidi"/>
                <w:sz w:val="22"/>
                <w:szCs w:val="22"/>
              </w:rPr>
            </w:pPr>
            <w:r>
              <w:rPr>
                <w:rFonts w:asciiTheme="majorBidi" w:hAnsiTheme="majorBidi" w:cstheme="majorBidi"/>
                <w:sz w:val="22"/>
                <w:szCs w:val="22"/>
              </w:rPr>
              <w:t>1.</w:t>
            </w:r>
            <w:r>
              <w:rPr>
                <w:rFonts w:hint="eastAsia" w:asciiTheme="majorBidi" w:hAnsiTheme="majorBidi" w:cstheme="majorBidi"/>
                <w:sz w:val="22"/>
                <w:szCs w:val="22"/>
              </w:rPr>
              <w:t>戴姆勒</w:t>
            </w:r>
          </w:p>
        </w:tc>
        <w:tc>
          <w:tcPr>
            <w:tcW w:w="5103" w:type="dxa"/>
            <w:shd w:val="clear" w:color="auto" w:fill="auto"/>
          </w:tcPr>
          <w:p>
            <w:pPr>
              <w:autoSpaceDE w:val="0"/>
              <w:autoSpaceDN w:val="0"/>
              <w:adjustRightInd w:val="0"/>
              <w:rPr>
                <w:rFonts w:asciiTheme="majorBidi" w:hAnsiTheme="majorBidi" w:cstheme="majorBidi"/>
                <w:bCs/>
                <w:sz w:val="22"/>
                <w:szCs w:val="22"/>
              </w:rPr>
            </w:pPr>
            <w:r>
              <w:rPr>
                <w:rFonts w:hint="eastAsia" w:asciiTheme="majorBidi" w:hAnsiTheme="majorBidi" w:cstheme="majorBidi"/>
                <w:bCs/>
                <w:sz w:val="22"/>
                <w:szCs w:val="22"/>
              </w:rPr>
              <w:t>戴姆勒是戴姆勒集团的母公司。戴姆勒在全球的业务主要包括如下板块：梅赛德斯-奔驰汽车和货车业务，卡车和巴士业务，以及包括融资、租赁、保险和车队管理服务等在内的交通服务业务。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91" w:hRule="atLeast"/>
          <w:jc w:val="center"/>
        </w:trPr>
        <w:tc>
          <w:tcPr>
            <w:tcW w:w="1940" w:type="dxa"/>
            <w:vMerge w:val="continue"/>
            <w:shd w:val="clear" w:color="auto" w:fill="D9D9D9"/>
          </w:tcPr>
          <w:p>
            <w:pPr>
              <w:pStyle w:val="3"/>
              <w:rPr>
                <w:rFonts w:cs="Times New Roman"/>
                <w:sz w:val="22"/>
                <w:szCs w:val="22"/>
                <w:lang w:val="en-US" w:eastAsia="zh-CN"/>
              </w:rPr>
            </w:pPr>
          </w:p>
        </w:tc>
        <w:tc>
          <w:tcPr>
            <w:tcW w:w="2591" w:type="dxa"/>
            <w:shd w:val="clear" w:color="auto" w:fill="auto"/>
          </w:tcPr>
          <w:p>
            <w:pPr>
              <w:autoSpaceDE w:val="0"/>
              <w:autoSpaceDN w:val="0"/>
              <w:adjustRightInd w:val="0"/>
              <w:rPr>
                <w:rFonts w:asciiTheme="majorBidi" w:hAnsiTheme="majorBidi" w:cstheme="majorBidi"/>
                <w:sz w:val="22"/>
                <w:szCs w:val="22"/>
              </w:rPr>
            </w:pPr>
            <w:r>
              <w:rPr>
                <w:rFonts w:asciiTheme="majorBidi" w:hAnsiTheme="majorBidi" w:cstheme="majorBidi"/>
                <w:sz w:val="22"/>
                <w:szCs w:val="22"/>
              </w:rPr>
              <w:t>2.</w:t>
            </w:r>
            <w:r>
              <w:rPr>
                <w:rFonts w:hint="eastAsia" w:asciiTheme="majorBidi" w:hAnsiTheme="majorBidi" w:cstheme="majorBidi"/>
                <w:sz w:val="22"/>
                <w:szCs w:val="22"/>
              </w:rPr>
              <w:t>瑞士再保险</w:t>
            </w:r>
          </w:p>
        </w:tc>
        <w:tc>
          <w:tcPr>
            <w:tcW w:w="5103" w:type="dxa"/>
            <w:shd w:val="clear" w:color="auto" w:fill="auto"/>
          </w:tcPr>
          <w:p>
            <w:pPr>
              <w:autoSpaceDE w:val="0"/>
              <w:autoSpaceDN w:val="0"/>
              <w:adjustRightInd w:val="0"/>
              <w:rPr>
                <w:rFonts w:asciiTheme="majorBidi" w:hAnsiTheme="majorBidi" w:cstheme="majorBidi"/>
                <w:sz w:val="22"/>
                <w:szCs w:val="22"/>
                <w:lang w:val="en-US"/>
              </w:rPr>
            </w:pPr>
            <w:r>
              <w:rPr>
                <w:rFonts w:hint="eastAsia" w:asciiTheme="majorBidi" w:hAnsiTheme="majorBidi" w:cstheme="majorBidi"/>
                <w:sz w:val="22"/>
                <w:szCs w:val="22"/>
                <w:lang w:val="en-US"/>
              </w:rPr>
              <w:t>瑞士再保险是一家全球再保险、保险和其他基于保险的风险转移方式的人寿和非人寿保险产品销售商。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9" w:hRule="atLeast"/>
          <w:jc w:val="center"/>
        </w:trPr>
        <w:tc>
          <w:tcPr>
            <w:tcW w:w="1940" w:type="dxa"/>
            <w:vMerge w:val="restart"/>
            <w:shd w:val="clear" w:color="auto" w:fill="D9D9D9"/>
          </w:tcPr>
          <w:p>
            <w:pPr>
              <w:pStyle w:val="3"/>
              <w:rPr>
                <w:rFonts w:cs="Times New Roman"/>
                <w:sz w:val="22"/>
                <w:szCs w:val="22"/>
                <w:lang w:val="en-US" w:eastAsia="zh-CN"/>
              </w:rPr>
            </w:pPr>
            <w:r>
              <w:rPr>
                <w:rFonts w:cs="Times New Roman"/>
                <w:sz w:val="22"/>
                <w:szCs w:val="22"/>
                <w:lang w:val="en-GB" w:eastAsia="zh-CN"/>
              </w:rPr>
              <w:t>简易案件理由（可以单选，也可以多选）</w:t>
            </w:r>
          </w:p>
        </w:tc>
        <w:tc>
          <w:tcPr>
            <w:tcW w:w="7694" w:type="dxa"/>
            <w:gridSpan w:val="2"/>
            <w:shd w:val="clear" w:color="auto" w:fill="auto"/>
          </w:tcPr>
          <w:p>
            <w:pPr>
              <w:pStyle w:val="3"/>
              <w:rPr>
                <w:rFonts w:cs="Times New Roman"/>
                <w:sz w:val="22"/>
                <w:szCs w:val="22"/>
                <w:lang w:val="en-US" w:eastAsia="zh-CN"/>
              </w:rPr>
            </w:pPr>
            <w:r>
              <w:rPr>
                <w:rFonts w:ascii="Wingdings" w:hAnsi="Wingdings"/>
                <w:sz w:val="22"/>
                <w:szCs w:val="22"/>
                <w:lang w:eastAsia="zh-CN"/>
              </w:rPr>
              <w:t></w:t>
            </w:r>
            <w:r>
              <w:rPr>
                <w:rFonts w:cs="Times New Roman"/>
                <w:sz w:val="22"/>
                <w:szCs w:val="22"/>
                <w:lang w:val="en-GB" w:eastAsia="zh-CN"/>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7" w:hRule="atLeast"/>
          <w:jc w:val="center"/>
        </w:trPr>
        <w:tc>
          <w:tcPr>
            <w:tcW w:w="1940" w:type="dxa"/>
            <w:vMerge w:val="continue"/>
            <w:shd w:val="clear" w:color="auto" w:fill="D9D9D9"/>
          </w:tcPr>
          <w:p>
            <w:pPr>
              <w:pStyle w:val="3"/>
              <w:rPr>
                <w:rFonts w:cs="Times New Roman"/>
                <w:sz w:val="22"/>
                <w:szCs w:val="22"/>
                <w:lang w:val="en-US" w:eastAsia="zh-CN"/>
              </w:rPr>
            </w:pPr>
          </w:p>
        </w:tc>
        <w:tc>
          <w:tcPr>
            <w:tcW w:w="7694" w:type="dxa"/>
            <w:gridSpan w:val="2"/>
            <w:shd w:val="clear" w:color="auto" w:fill="auto"/>
          </w:tcPr>
          <w:p>
            <w:pPr>
              <w:pStyle w:val="3"/>
              <w:rPr>
                <w:rFonts w:cs="Times New Roman"/>
                <w:sz w:val="22"/>
                <w:szCs w:val="22"/>
                <w:lang w:val="en-US" w:eastAsia="zh-CN"/>
              </w:rPr>
            </w:pPr>
            <w:r>
              <w:rPr>
                <w:rFonts w:ascii="Wingdings" w:hAnsi="Wingdings"/>
                <w:sz w:val="22"/>
                <w:szCs w:val="22"/>
                <w:lang w:eastAsia="zh-CN"/>
              </w:rPr>
              <w:t></w:t>
            </w:r>
            <w:r>
              <w:rPr>
                <w:rFonts w:hint="eastAsia" w:cs="Times New Roman"/>
                <w:sz w:val="22"/>
                <w:szCs w:val="22"/>
                <w:lang w:val="en-GB" w:eastAsia="zh-CN"/>
              </w:rPr>
              <w:t xml:space="preserve"> </w:t>
            </w:r>
            <w:r>
              <w:rPr>
                <w:rFonts w:cs="Times New Roman"/>
                <w:sz w:val="22"/>
                <w:szCs w:val="22"/>
                <w:lang w:val="en-GB" w:eastAsia="zh-CN"/>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5" w:hRule="atLeast"/>
          <w:jc w:val="center"/>
        </w:trPr>
        <w:tc>
          <w:tcPr>
            <w:tcW w:w="1940" w:type="dxa"/>
            <w:vMerge w:val="continue"/>
            <w:shd w:val="clear" w:color="auto" w:fill="D9D9D9"/>
          </w:tcPr>
          <w:p>
            <w:pPr>
              <w:pStyle w:val="3"/>
              <w:rPr>
                <w:rFonts w:cs="Times New Roman"/>
                <w:sz w:val="22"/>
                <w:szCs w:val="22"/>
                <w:lang w:val="en-US" w:eastAsia="zh-CN"/>
              </w:rPr>
            </w:pPr>
          </w:p>
        </w:tc>
        <w:tc>
          <w:tcPr>
            <w:tcW w:w="7694" w:type="dxa"/>
            <w:gridSpan w:val="2"/>
            <w:shd w:val="clear" w:color="auto" w:fill="auto"/>
          </w:tcPr>
          <w:p>
            <w:pPr>
              <w:pStyle w:val="3"/>
              <w:rPr>
                <w:rFonts w:cs="Times New Roman"/>
                <w:sz w:val="22"/>
                <w:szCs w:val="22"/>
                <w:lang w:val="en-US" w:eastAsia="zh-CN"/>
              </w:rPr>
            </w:pPr>
            <w:r>
              <w:rPr>
                <w:rFonts w:ascii="Wingdings" w:hAnsi="Wingdings"/>
                <w:sz w:val="22"/>
                <w:szCs w:val="22"/>
                <w:lang w:eastAsia="zh-CN"/>
              </w:rPr>
              <w:sym w:font="Wingdings" w:char="F06F"/>
            </w:r>
            <w:r>
              <w:rPr>
                <w:rFonts w:cs="Times New Roman"/>
                <w:sz w:val="22"/>
                <w:szCs w:val="22"/>
                <w:lang w:val="en-GB" w:eastAsia="zh-CN"/>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70" w:hRule="atLeast"/>
          <w:jc w:val="center"/>
        </w:trPr>
        <w:tc>
          <w:tcPr>
            <w:tcW w:w="1940" w:type="dxa"/>
            <w:vMerge w:val="continue"/>
            <w:shd w:val="clear" w:color="auto" w:fill="D9D9D9"/>
          </w:tcPr>
          <w:p>
            <w:pPr>
              <w:pStyle w:val="3"/>
              <w:rPr>
                <w:rFonts w:cs="Times New Roman"/>
                <w:sz w:val="22"/>
                <w:szCs w:val="22"/>
                <w:lang w:val="en-US" w:eastAsia="zh-CN"/>
              </w:rPr>
            </w:pPr>
          </w:p>
        </w:tc>
        <w:tc>
          <w:tcPr>
            <w:tcW w:w="7694" w:type="dxa"/>
            <w:gridSpan w:val="2"/>
            <w:shd w:val="clear" w:color="auto" w:fill="auto"/>
          </w:tcPr>
          <w:p>
            <w:pPr>
              <w:pStyle w:val="3"/>
              <w:rPr>
                <w:rFonts w:cs="Times New Roman"/>
                <w:sz w:val="22"/>
                <w:szCs w:val="22"/>
                <w:lang w:val="en-US" w:eastAsia="zh-CN"/>
              </w:rPr>
            </w:pPr>
            <w:r>
              <w:rPr>
                <w:rFonts w:ascii="Wingdings" w:hAnsi="Wingdings"/>
                <w:sz w:val="22"/>
                <w:szCs w:val="22"/>
                <w:lang w:eastAsia="zh-CN"/>
              </w:rPr>
              <w:sym w:font="Wingdings" w:char="F06F"/>
            </w:r>
            <w:r>
              <w:rPr>
                <w:rFonts w:cs="Times New Roman"/>
                <w:sz w:val="22"/>
                <w:szCs w:val="22"/>
                <w:lang w:val="en-GB" w:eastAsia="zh-CN"/>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64" w:hRule="atLeast"/>
          <w:jc w:val="center"/>
        </w:trPr>
        <w:tc>
          <w:tcPr>
            <w:tcW w:w="1940" w:type="dxa"/>
            <w:vMerge w:val="continue"/>
            <w:shd w:val="clear" w:color="auto" w:fill="D9D9D9"/>
          </w:tcPr>
          <w:p>
            <w:pPr>
              <w:pStyle w:val="3"/>
              <w:rPr>
                <w:rFonts w:cs="Times New Roman"/>
                <w:sz w:val="22"/>
                <w:szCs w:val="22"/>
                <w:lang w:val="en-US" w:eastAsia="zh-CN"/>
              </w:rPr>
            </w:pPr>
          </w:p>
        </w:tc>
        <w:tc>
          <w:tcPr>
            <w:tcW w:w="7694" w:type="dxa"/>
            <w:gridSpan w:val="2"/>
            <w:shd w:val="clear" w:color="auto" w:fill="auto"/>
          </w:tcPr>
          <w:p>
            <w:pPr>
              <w:pStyle w:val="3"/>
              <w:rPr>
                <w:rFonts w:cs="Times New Roman"/>
                <w:sz w:val="22"/>
                <w:szCs w:val="22"/>
                <w:lang w:val="en-US" w:eastAsia="zh-CN"/>
              </w:rPr>
            </w:pPr>
            <w:r>
              <w:rPr>
                <w:rFonts w:ascii="Wingdings" w:hAnsi="Wingdings"/>
                <w:sz w:val="22"/>
                <w:szCs w:val="22"/>
                <w:lang w:eastAsia="zh-CN"/>
              </w:rPr>
              <w:sym w:font="Wingdings" w:char="F06F"/>
            </w:r>
            <w:r>
              <w:rPr>
                <w:rFonts w:cs="Times New Roman"/>
                <w:sz w:val="22"/>
                <w:szCs w:val="22"/>
                <w:lang w:val="en-GB" w:eastAsia="zh-CN"/>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5" w:hRule="atLeast"/>
          <w:jc w:val="center"/>
        </w:trPr>
        <w:tc>
          <w:tcPr>
            <w:tcW w:w="1940" w:type="dxa"/>
            <w:vMerge w:val="continue"/>
            <w:shd w:val="clear" w:color="auto" w:fill="D9D9D9"/>
          </w:tcPr>
          <w:p>
            <w:pPr>
              <w:pStyle w:val="3"/>
              <w:rPr>
                <w:rFonts w:cs="Times New Roman"/>
                <w:sz w:val="22"/>
                <w:szCs w:val="22"/>
                <w:lang w:val="en-US" w:eastAsia="zh-CN"/>
              </w:rPr>
            </w:pPr>
          </w:p>
        </w:tc>
        <w:tc>
          <w:tcPr>
            <w:tcW w:w="7694" w:type="dxa"/>
            <w:gridSpan w:val="2"/>
            <w:shd w:val="clear" w:color="auto" w:fill="auto"/>
          </w:tcPr>
          <w:p>
            <w:pPr>
              <w:pStyle w:val="3"/>
              <w:rPr>
                <w:rFonts w:cs="Times New Roman"/>
                <w:sz w:val="22"/>
                <w:szCs w:val="22"/>
                <w:lang w:val="en-US" w:eastAsia="zh-CN"/>
              </w:rPr>
            </w:pPr>
            <w:r>
              <w:rPr>
                <w:rFonts w:ascii="Wingdings" w:hAnsi="Wingdings"/>
                <w:sz w:val="22"/>
                <w:szCs w:val="22"/>
                <w:lang w:eastAsia="zh-CN"/>
              </w:rPr>
              <w:sym w:font="Wingdings" w:char="F06F"/>
            </w:r>
            <w:r>
              <w:rPr>
                <w:rFonts w:cs="Times New Roman"/>
                <w:sz w:val="22"/>
                <w:szCs w:val="22"/>
                <w:lang w:val="en-GB" w:eastAsia="zh-CN"/>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40" w:type="dxa"/>
            <w:shd w:val="clear" w:color="auto" w:fill="D9D9D9"/>
          </w:tcPr>
          <w:p>
            <w:pPr>
              <w:pStyle w:val="3"/>
              <w:rPr>
                <w:rFonts w:cs="Times New Roman"/>
                <w:sz w:val="22"/>
                <w:szCs w:val="22"/>
                <w:lang w:val="en-US"/>
              </w:rPr>
            </w:pPr>
            <w:r>
              <w:rPr>
                <w:rFonts w:cs="Times New Roman"/>
                <w:sz w:val="22"/>
                <w:szCs w:val="22"/>
                <w:lang w:val="en-GB"/>
              </w:rPr>
              <w:t>备注</w:t>
            </w:r>
          </w:p>
        </w:tc>
        <w:tc>
          <w:tcPr>
            <w:tcW w:w="7694" w:type="dxa"/>
            <w:gridSpan w:val="2"/>
            <w:shd w:val="clear" w:color="auto" w:fill="auto"/>
          </w:tcPr>
          <w:p>
            <w:pPr>
              <w:rPr>
                <w:sz w:val="22"/>
                <w:szCs w:val="22"/>
              </w:rPr>
            </w:pPr>
            <w:r>
              <w:rPr>
                <w:rFonts w:hint="eastAsia"/>
                <w:sz w:val="22"/>
                <w:szCs w:val="22"/>
              </w:rPr>
              <w:t>相关市场及市场份额：</w:t>
            </w:r>
          </w:p>
          <w:p>
            <w:pPr>
              <w:rPr>
                <w:sz w:val="22"/>
                <w:szCs w:val="22"/>
              </w:rPr>
            </w:pPr>
            <w:r>
              <w:rPr>
                <w:rFonts w:hint="eastAsia"/>
                <w:sz w:val="22"/>
                <w:szCs w:val="22"/>
              </w:rPr>
              <w:t>（1）中国保险代理业务市场</w:t>
            </w:r>
          </w:p>
          <w:p>
            <w:pPr>
              <w:pStyle w:val="30"/>
              <w:numPr>
                <w:ilvl w:val="0"/>
                <w:numId w:val="2"/>
              </w:numPr>
              <w:rPr>
                <w:sz w:val="22"/>
                <w:szCs w:val="22"/>
              </w:rPr>
            </w:pPr>
            <w:r>
              <w:rPr>
                <w:rFonts w:hint="eastAsia"/>
                <w:sz w:val="22"/>
                <w:szCs w:val="22"/>
              </w:rPr>
              <w:t>戴姆勒：[</w:t>
            </w:r>
            <w:r>
              <w:rPr>
                <w:sz w:val="22"/>
                <w:szCs w:val="22"/>
              </w:rPr>
              <w:t>0-5]%</w:t>
            </w:r>
          </w:p>
          <w:p>
            <w:pPr>
              <w:rPr>
                <w:sz w:val="22"/>
                <w:szCs w:val="22"/>
              </w:rPr>
            </w:pPr>
            <w:r>
              <w:rPr>
                <w:rFonts w:hint="eastAsia"/>
                <w:sz w:val="22"/>
                <w:szCs w:val="22"/>
              </w:rPr>
              <w:t>（2）中国非人身保险产品市场</w:t>
            </w:r>
          </w:p>
          <w:p>
            <w:pPr>
              <w:pStyle w:val="30"/>
              <w:numPr>
                <w:ilvl w:val="0"/>
                <w:numId w:val="2"/>
              </w:numPr>
              <w:rPr>
                <w:sz w:val="22"/>
                <w:szCs w:val="22"/>
              </w:rPr>
            </w:pPr>
            <w:r>
              <w:rPr>
                <w:rFonts w:hint="eastAsia"/>
                <w:sz w:val="22"/>
                <w:szCs w:val="22"/>
              </w:rPr>
              <w:t>瑞士再保险：[</w:t>
            </w:r>
            <w:r>
              <w:rPr>
                <w:sz w:val="22"/>
                <w:szCs w:val="22"/>
              </w:rPr>
              <w:t>0-5]%</w:t>
            </w:r>
          </w:p>
        </w:tc>
      </w:tr>
    </w:tbl>
    <w:p>
      <w:pPr>
        <w:pStyle w:val="3"/>
        <w:rPr>
          <w:sz w:val="22"/>
          <w:szCs w:val="22"/>
          <w:lang w:val="en-GB" w:eastAsia="zh-CN"/>
        </w:rPr>
      </w:pPr>
    </w:p>
    <w:p>
      <w:pPr>
        <w:rPr>
          <w:sz w:val="22"/>
          <w:szCs w:val="22"/>
          <w:lang w:val="zh-CN"/>
        </w:rPr>
      </w:pPr>
    </w:p>
    <w:sectPr>
      <w:footerReference r:id="rId3" w:type="default"/>
      <w:pgSz w:w="11906" w:h="16838"/>
      <w:pgMar w:top="1440" w:right="1800" w:bottom="1440" w:left="180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DejaVu Sans">
    <w:altName w:val="苹方-简"/>
    <w:panose1 w:val="02020603050405020304"/>
    <w:charset w:val="00"/>
    <w:family w:val="roman"/>
    <w:pitch w:val="default"/>
    <w:sig w:usb0="20007A87" w:usb1="80000000" w:usb2="00000008" w:usb3="00000000" w:csb0="000001FF" w:csb1="00000000"/>
  </w:font>
  <w:font w:name="方正书宋_GBK">
    <w:altName w:val="汉仪书宋二KW"/>
    <w:panose1 w:val="02000000000000000000"/>
    <w:charset w:val="86"/>
    <w:family w:val="auto"/>
    <w:pitch w:val="default"/>
    <w:sig w:usb0="00000001" w:usb1="08000000" w:usb2="00000000" w:usb3="00000000" w:csb0="00040000"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30204"/>
    <w:charset w:val="00"/>
    <w:family w:val="roman"/>
    <w:pitch w:val="default"/>
    <w:sig w:usb0="E00006FF" w:usb1="420024FF" w:usb2="02000000" w:usb3="00000000" w:csb0="2000019F"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ymbol">
    <w:panose1 w:val="05050102010706020507"/>
    <w:charset w:val="02"/>
    <w:family w:val="roman"/>
    <w:pitch w:val="default"/>
    <w:sig w:usb0="00000000" w:usb1="00000000" w:usb2="00000000" w:usb3="00000000" w:csb0="8000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2"/>
    <w:family w:val="auto"/>
    <w:pitch w:val="default"/>
    <w:sig w:usb0="00000000" w:usb1="00000000" w:usb2="00000000" w:usb3="00000000" w:csb0="80000000" w:csb1="00000000"/>
  </w:font>
  <w:font w:name="Simplified Arabic">
    <w:altName w:val="Thonburi"/>
    <w:panose1 w:val="00000000000000000000"/>
    <w:charset w:val="B2"/>
    <w:family w:val="roman"/>
    <w:pitch w:val="default"/>
    <w:sig w:usb0="00000000" w:usb1="00000000" w:usb2="00000008" w:usb3="00000000" w:csb0="00000041" w:csb1="00000000"/>
  </w:font>
  <w:font w:name="Segoe UI">
    <w:altName w:val="苹方-简"/>
    <w:panose1 w:val="020B0502040204020203"/>
    <w:charset w:val="00"/>
    <w:family w:val="swiss"/>
    <w:pitch w:val="default"/>
    <w:sig w:usb0="00000000" w:usb1="00000000" w:usb2="00000009" w:usb3="00000000" w:csb0="000001FF" w:csb1="00000000"/>
  </w:font>
  <w:font w:name="Calibri Light">
    <w:altName w:val="Helvetica Neue"/>
    <w:panose1 w:val="020F0302020204030204"/>
    <w:charset w:val="00"/>
    <w:family w:val="swiss"/>
    <w:pitch w:val="default"/>
    <w:sig w:usb0="00000000" w:usb1="00000000" w:usb2="00000009" w:usb3="00000000" w:csb0="000001FF" w:csb1="00000000"/>
  </w:font>
  <w:font w:name="冬青黑体简体中文">
    <w:panose1 w:val="020B0300000000000000"/>
    <w:charset w:val="86"/>
    <w:family w:val="auto"/>
    <w:pitch w:val="default"/>
    <w:sig w:usb0="A00002BF" w:usb1="1ACF7CFA" w:usb2="00000016"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0"/>
    </w:sdtPr>
    <w:sdtEndPr>
      <w:rPr>
        <w:sz w:val="22"/>
      </w:rPr>
    </w:sdtEndPr>
    <w:sdtContent>
      <w:p>
        <w:pPr>
          <w:pStyle w:val="5"/>
          <w:jc w:val="center"/>
          <w:rPr>
            <w:sz w:val="22"/>
          </w:rPr>
        </w:pPr>
        <w:r>
          <w:rPr>
            <w:sz w:val="22"/>
          </w:rPr>
          <w:fldChar w:fldCharType="begin"/>
        </w:r>
        <w:r>
          <w:rPr>
            <w:sz w:val="22"/>
          </w:rPr>
          <w:instrText xml:space="preserve"> PAGE   \* MERGEFORMAT </w:instrText>
        </w:r>
        <w:r>
          <w:rPr>
            <w:sz w:val="22"/>
          </w:rPr>
          <w:fldChar w:fldCharType="separate"/>
        </w:r>
        <w:r>
          <w:rPr>
            <w:sz w:val="22"/>
          </w:rPr>
          <w:t>1</w:t>
        </w:r>
        <w:r>
          <w:rPr>
            <w:sz w:val="22"/>
          </w:rPr>
          <w:fldChar w:fldCharType="end"/>
        </w:r>
      </w:p>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FA3498"/>
    <w:multiLevelType w:val="multilevel"/>
    <w:tmpl w:val="07FA3498"/>
    <w:lvl w:ilvl="0" w:tentative="0">
      <w:start w:val="1"/>
      <w:numFmt w:val="decimal"/>
      <w:pStyle w:val="28"/>
      <w:isLgl/>
      <w:lvlText w:val="%1."/>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1" w:tentative="0">
      <w:start w:val="1"/>
      <w:numFmt w:val="lowerLetter"/>
      <w:pStyle w:val="27"/>
      <w:lvlText w:val="(%2)"/>
      <w:lvlJc w:val="left"/>
      <w:pPr>
        <w:tabs>
          <w:tab w:val="left" w:pos="720"/>
        </w:tabs>
        <w:ind w:left="720" w:hanging="720"/>
      </w:pPr>
      <w:rPr>
        <w:rFonts w:ascii="Times New Roman" w:hAnsi="Times New Roman" w:cs="Times New Roman"/>
        <w:b w:val="0"/>
        <w:i w:val="0"/>
        <w:caps w:val="0"/>
        <w:strike w:val="0"/>
        <w:dstrike w:val="0"/>
        <w:vanish w:val="0"/>
        <w:color w:val="auto"/>
        <w:sz w:val="24"/>
        <w:u w:val="none"/>
        <w:vertAlign w:val="baseline"/>
      </w:rPr>
    </w:lvl>
    <w:lvl w:ilvl="2" w:tentative="0">
      <w:start w:val="1"/>
      <w:numFmt w:val="bullet"/>
      <w:pStyle w:val="26"/>
      <w:lvlText w:val=""/>
      <w:lvlJc w:val="left"/>
      <w:pPr>
        <w:tabs>
          <w:tab w:val="left" w:pos="1440"/>
        </w:tabs>
        <w:ind w:left="1440" w:hanging="720"/>
      </w:pPr>
      <w:rPr>
        <w:rFonts w:hint="default" w:ascii="Symbol" w:hAnsi="Symbol"/>
        <w:b w:val="0"/>
        <w:i w:val="0"/>
        <w:caps w:val="0"/>
        <w:strike w:val="0"/>
        <w:dstrike w:val="0"/>
        <w:vanish w:val="0"/>
        <w:color w:val="auto"/>
        <w:sz w:val="24"/>
        <w:u w:val="none"/>
        <w:vertAlign w:val="baseline"/>
      </w:rPr>
    </w:lvl>
    <w:lvl w:ilvl="3" w:tentative="0">
      <w:start w:val="1"/>
      <w:numFmt w:val="upperLetter"/>
      <w:pStyle w:val="25"/>
      <w:lvlText w:val="(%4)"/>
      <w:lvlJc w:val="left"/>
      <w:pPr>
        <w:tabs>
          <w:tab w:val="left" w:pos="2160"/>
        </w:tabs>
        <w:ind w:left="2160" w:hanging="720"/>
      </w:pPr>
      <w:rPr>
        <w:rFonts w:ascii="Times New Roman" w:hAnsi="Times New Roman" w:cs="Times New Roman"/>
        <w:b w:val="0"/>
        <w:i w:val="0"/>
        <w:caps w:val="0"/>
        <w:strike w:val="0"/>
        <w:dstrike w:val="0"/>
        <w:vanish w:val="0"/>
        <w:color w:val="auto"/>
        <w:sz w:val="24"/>
        <w:u w:val="none"/>
        <w:vertAlign w:val="baseline"/>
      </w:rPr>
    </w:lvl>
    <w:lvl w:ilvl="4" w:tentative="0">
      <w:start w:val="1"/>
      <w:numFmt w:val="decimal"/>
      <w:pStyle w:val="24"/>
      <w:lvlText w:val="(%5)"/>
      <w:lvlJc w:val="left"/>
      <w:pPr>
        <w:tabs>
          <w:tab w:val="left" w:pos="2880"/>
        </w:tabs>
        <w:ind w:left="2880" w:hanging="720"/>
      </w:pPr>
      <w:rPr>
        <w:rFonts w:ascii="Times New Roman" w:hAnsi="Times New Roman" w:cs="Times New Roman"/>
        <w:b w:val="0"/>
        <w:i w:val="0"/>
        <w:caps w:val="0"/>
        <w:strike w:val="0"/>
        <w:dstrike w:val="0"/>
        <w:vanish w:val="0"/>
        <w:color w:val="auto"/>
        <w:sz w:val="24"/>
        <w:u w:val="none"/>
        <w:vertAlign w:val="baseline"/>
      </w:rPr>
    </w:lvl>
    <w:lvl w:ilvl="5" w:tentative="0">
      <w:start w:val="1"/>
      <w:numFmt w:val="none"/>
      <w:lvlRestart w:val="0"/>
      <w:pStyle w:val="23"/>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6" w:tentative="0">
      <w:start w:val="1"/>
      <w:numFmt w:val="none"/>
      <w:lvlRestart w:val="0"/>
      <w:pStyle w:val="22"/>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7" w:tentative="0">
      <w:start w:val="1"/>
      <w:numFmt w:val="none"/>
      <w:lvlRestart w:val="0"/>
      <w:pStyle w:val="21"/>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lvl w:ilvl="8" w:tentative="0">
      <w:start w:val="1"/>
      <w:numFmt w:val="none"/>
      <w:lvlRestart w:val="0"/>
      <w:pStyle w:val="20"/>
      <w:suff w:val="nothing"/>
      <w:lvlText w:val=""/>
      <w:lvlJc w:val="left"/>
      <w:pPr>
        <w:ind w:left="0" w:firstLine="0"/>
      </w:pPr>
      <w:rPr>
        <w:rFonts w:ascii="Times New Roman" w:hAnsi="Times New Roman" w:cs="Times New Roman"/>
        <w:b w:val="0"/>
        <w:i w:val="0"/>
        <w:caps w:val="0"/>
        <w:strike w:val="0"/>
        <w:dstrike w:val="0"/>
        <w:vanish w:val="0"/>
        <w:color w:val="auto"/>
        <w:sz w:val="24"/>
        <w:u w:val="none"/>
        <w:vertAlign w:val="baseline"/>
      </w:rPr>
    </w:lvl>
  </w:abstractNum>
  <w:abstractNum w:abstractNumId="1">
    <w:nsid w:val="6EB56ECD"/>
    <w:multiLevelType w:val="multilevel"/>
    <w:tmpl w:val="6EB56EC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hideSpellingErrors/>
  <w:hideGrammaticalErrors/>
  <w:doNotTrackMoves/>
  <w:doNotTrackFormatting/>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E0B"/>
    <w:rsid w:val="00001A6D"/>
    <w:rsid w:val="0005110A"/>
    <w:rsid w:val="0008652E"/>
    <w:rsid w:val="001620F1"/>
    <w:rsid w:val="001E7029"/>
    <w:rsid w:val="001E7764"/>
    <w:rsid w:val="0022234D"/>
    <w:rsid w:val="0024351F"/>
    <w:rsid w:val="00295C5B"/>
    <w:rsid w:val="002F16D9"/>
    <w:rsid w:val="00346D4D"/>
    <w:rsid w:val="00352AEF"/>
    <w:rsid w:val="00366A15"/>
    <w:rsid w:val="003738E5"/>
    <w:rsid w:val="003A28B1"/>
    <w:rsid w:val="0041446C"/>
    <w:rsid w:val="00454069"/>
    <w:rsid w:val="0047593C"/>
    <w:rsid w:val="004871BD"/>
    <w:rsid w:val="004D1096"/>
    <w:rsid w:val="004E5A46"/>
    <w:rsid w:val="004F0041"/>
    <w:rsid w:val="004F26EC"/>
    <w:rsid w:val="005641AF"/>
    <w:rsid w:val="005D603F"/>
    <w:rsid w:val="0064168F"/>
    <w:rsid w:val="00643D81"/>
    <w:rsid w:val="006450E1"/>
    <w:rsid w:val="006975CA"/>
    <w:rsid w:val="006D5A9E"/>
    <w:rsid w:val="00705E85"/>
    <w:rsid w:val="00721041"/>
    <w:rsid w:val="007472FC"/>
    <w:rsid w:val="007535D1"/>
    <w:rsid w:val="00764DB0"/>
    <w:rsid w:val="0079009C"/>
    <w:rsid w:val="007A47AA"/>
    <w:rsid w:val="007F6CEB"/>
    <w:rsid w:val="008138F8"/>
    <w:rsid w:val="008436B7"/>
    <w:rsid w:val="00852A85"/>
    <w:rsid w:val="008562CE"/>
    <w:rsid w:val="008656E0"/>
    <w:rsid w:val="00874B87"/>
    <w:rsid w:val="008A3B57"/>
    <w:rsid w:val="009004F6"/>
    <w:rsid w:val="00932B1D"/>
    <w:rsid w:val="00934162"/>
    <w:rsid w:val="00944E3F"/>
    <w:rsid w:val="00955B7B"/>
    <w:rsid w:val="00966276"/>
    <w:rsid w:val="0099230E"/>
    <w:rsid w:val="009D60C7"/>
    <w:rsid w:val="00A656F8"/>
    <w:rsid w:val="00A766C7"/>
    <w:rsid w:val="00AA5D49"/>
    <w:rsid w:val="00AB2557"/>
    <w:rsid w:val="00AB7F70"/>
    <w:rsid w:val="00B00E34"/>
    <w:rsid w:val="00B15B57"/>
    <w:rsid w:val="00B80E6D"/>
    <w:rsid w:val="00BC063A"/>
    <w:rsid w:val="00BF6B18"/>
    <w:rsid w:val="00C855C4"/>
    <w:rsid w:val="00CD590A"/>
    <w:rsid w:val="00CD73F7"/>
    <w:rsid w:val="00D211F6"/>
    <w:rsid w:val="00D458E2"/>
    <w:rsid w:val="00D91095"/>
    <w:rsid w:val="00D92E0B"/>
    <w:rsid w:val="00DC05CD"/>
    <w:rsid w:val="00DC1875"/>
    <w:rsid w:val="00DE21ED"/>
    <w:rsid w:val="00E44950"/>
    <w:rsid w:val="00E94D11"/>
    <w:rsid w:val="00EF2CBF"/>
    <w:rsid w:val="00F4045F"/>
    <w:rsid w:val="00F877CB"/>
    <w:rsid w:val="00FC7EB3"/>
    <w:rsid w:val="00FD21DC"/>
    <w:rsid w:val="00FF3058"/>
    <w:rsid w:val="DF6EAAE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40" w:line="240" w:lineRule="auto"/>
      <w:jc w:val="both"/>
    </w:pPr>
    <w:rPr>
      <w:rFonts w:ascii="Times New Roman" w:hAnsi="Times New Roman" w:eastAsia="宋体" w:cs="Times New Roman"/>
      <w:sz w:val="24"/>
      <w:szCs w:val="24"/>
      <w:lang w:val="en-GB" w:eastAsia="zh-CN" w:bidi="ar-AE"/>
    </w:rPr>
  </w:style>
  <w:style w:type="character" w:default="1" w:styleId="8">
    <w:name w:val="Default Paragraph Font"/>
    <w:unhideWhenUsed/>
    <w:qFormat/>
    <w:uiPriority w:val="1"/>
  </w:style>
  <w:style w:type="table" w:default="1" w:styleId="11">
    <w:name w:val="Normal Table"/>
    <w:unhideWhenUsed/>
    <w:uiPriority w:val="99"/>
    <w:tblPr>
      <w:tblCellMar>
        <w:top w:w="0" w:type="dxa"/>
        <w:left w:w="108" w:type="dxa"/>
        <w:bottom w:w="0" w:type="dxa"/>
        <w:right w:w="108" w:type="dxa"/>
      </w:tblCellMar>
    </w:tblPr>
  </w:style>
  <w:style w:type="paragraph" w:styleId="2">
    <w:name w:val="Body Text 3"/>
    <w:basedOn w:val="1"/>
    <w:link w:val="29"/>
    <w:unhideWhenUsed/>
    <w:uiPriority w:val="99"/>
    <w:pPr>
      <w:spacing w:after="120"/>
    </w:pPr>
    <w:rPr>
      <w:sz w:val="16"/>
      <w:szCs w:val="16"/>
    </w:rPr>
  </w:style>
  <w:style w:type="paragraph" w:styleId="3">
    <w:name w:val="Body Text"/>
    <w:basedOn w:val="1"/>
    <w:link w:val="14"/>
    <w:uiPriority w:val="0"/>
    <w:rPr>
      <w:rFonts w:cs="Simplified Arabic"/>
      <w:lang w:val="zh-CN" w:eastAsia="en-GB"/>
    </w:rPr>
  </w:style>
  <w:style w:type="paragraph" w:styleId="4">
    <w:name w:val="Balloon Text"/>
    <w:basedOn w:val="1"/>
    <w:link w:val="18"/>
    <w:unhideWhenUsed/>
    <w:uiPriority w:val="99"/>
    <w:pPr>
      <w:spacing w:after="0"/>
    </w:pPr>
    <w:rPr>
      <w:rFonts w:ascii="Segoe UI" w:hAnsi="Segoe UI" w:cs="Segoe UI"/>
      <w:sz w:val="18"/>
      <w:szCs w:val="18"/>
    </w:rPr>
  </w:style>
  <w:style w:type="paragraph" w:styleId="5">
    <w:name w:val="footer"/>
    <w:basedOn w:val="1"/>
    <w:link w:val="13"/>
    <w:unhideWhenUsed/>
    <w:uiPriority w:val="99"/>
    <w:pPr>
      <w:tabs>
        <w:tab w:val="center" w:pos="4153"/>
        <w:tab w:val="right" w:pos="8306"/>
      </w:tabs>
      <w:spacing w:after="0"/>
      <w:jc w:val="left"/>
    </w:pPr>
    <w:rPr>
      <w:rFonts w:eastAsiaTheme="minorEastAsia"/>
      <w:sz w:val="16"/>
      <w:szCs w:val="22"/>
      <w:lang w:bidi="ar-SA"/>
    </w:rPr>
  </w:style>
  <w:style w:type="paragraph" w:styleId="6">
    <w:name w:val="header"/>
    <w:basedOn w:val="1"/>
    <w:link w:val="12"/>
    <w:unhideWhenUsed/>
    <w:uiPriority w:val="99"/>
    <w:pPr>
      <w:tabs>
        <w:tab w:val="center" w:pos="4153"/>
        <w:tab w:val="right" w:pos="8306"/>
      </w:tabs>
      <w:spacing w:after="0"/>
      <w:jc w:val="left"/>
    </w:pPr>
    <w:rPr>
      <w:rFonts w:asciiTheme="minorHAnsi" w:hAnsiTheme="minorHAnsi" w:eastAsiaTheme="minorEastAsia" w:cstheme="minorBidi"/>
      <w:sz w:val="22"/>
      <w:szCs w:val="22"/>
      <w:lang w:bidi="ar-SA"/>
    </w:rPr>
  </w:style>
  <w:style w:type="paragraph" w:styleId="7">
    <w:name w:val="Body Text 2"/>
    <w:basedOn w:val="1"/>
    <w:link w:val="19"/>
    <w:unhideWhenUsed/>
    <w:uiPriority w:val="99"/>
    <w:pPr>
      <w:spacing w:after="120" w:line="480" w:lineRule="auto"/>
    </w:pPr>
  </w:style>
  <w:style w:type="character" w:styleId="9">
    <w:name w:val="page number"/>
    <w:basedOn w:val="8"/>
    <w:unhideWhenUsed/>
    <w:uiPriority w:val="99"/>
    <w:rPr>
      <w:rFonts w:ascii="Times New Roman" w:hAnsi="Times New Roman" w:cs="Times New Roman"/>
      <w:sz w:val="24"/>
    </w:rPr>
  </w:style>
  <w:style w:type="character" w:styleId="10">
    <w:name w:val="Hyperlink"/>
    <w:uiPriority w:val="99"/>
    <w:rPr>
      <w:color w:val="0000FF"/>
      <w:u w:val="single"/>
    </w:rPr>
  </w:style>
  <w:style w:type="character" w:customStyle="1" w:styleId="12">
    <w:name w:val="页眉 字符"/>
    <w:basedOn w:val="8"/>
    <w:link w:val="6"/>
    <w:uiPriority w:val="99"/>
  </w:style>
  <w:style w:type="character" w:customStyle="1" w:styleId="13">
    <w:name w:val="页脚 字符"/>
    <w:basedOn w:val="8"/>
    <w:link w:val="5"/>
    <w:uiPriority w:val="99"/>
    <w:rPr>
      <w:rFonts w:ascii="Times New Roman" w:hAnsi="Times New Roman" w:cs="Times New Roman"/>
      <w:sz w:val="16"/>
    </w:rPr>
  </w:style>
  <w:style w:type="character" w:customStyle="1" w:styleId="14">
    <w:name w:val="正文文本 字符"/>
    <w:basedOn w:val="8"/>
    <w:link w:val="3"/>
    <w:uiPriority w:val="0"/>
    <w:rPr>
      <w:rFonts w:ascii="Times New Roman" w:hAnsi="Times New Roman" w:eastAsia="宋体" w:cs="Simplified Arabic"/>
      <w:sz w:val="24"/>
      <w:szCs w:val="24"/>
      <w:lang w:val="zh-CN" w:eastAsia="en-GB" w:bidi="ar-AE"/>
    </w:rPr>
  </w:style>
  <w:style w:type="paragraph" w:customStyle="1" w:styleId="15">
    <w:name w:val="Footer Right"/>
    <w:basedOn w:val="5"/>
    <w:link w:val="16"/>
    <w:uiPriority w:val="0"/>
    <w:pPr>
      <w:spacing w:line="440" w:lineRule="exact"/>
      <w:jc w:val="right"/>
    </w:pPr>
    <w:rPr>
      <w:szCs w:val="28"/>
    </w:rPr>
  </w:style>
  <w:style w:type="character" w:customStyle="1" w:styleId="16">
    <w:name w:val="Footer Right Char"/>
    <w:basedOn w:val="8"/>
    <w:link w:val="15"/>
    <w:uiPriority w:val="0"/>
    <w:rPr>
      <w:rFonts w:ascii="Times New Roman" w:hAnsi="Times New Roman" w:cs="Times New Roman"/>
      <w:sz w:val="16"/>
      <w:szCs w:val="28"/>
    </w:rPr>
  </w:style>
  <w:style w:type="character" w:customStyle="1" w:styleId="17">
    <w:name w:val="Unresolved Mention"/>
    <w:basedOn w:val="8"/>
    <w:unhideWhenUsed/>
    <w:uiPriority w:val="99"/>
    <w:rPr>
      <w:color w:val="808080"/>
      <w:shd w:val="clear" w:color="auto" w:fill="E6E6E6"/>
    </w:rPr>
  </w:style>
  <w:style w:type="character" w:customStyle="1" w:styleId="18">
    <w:name w:val="批注框文本 字符"/>
    <w:basedOn w:val="8"/>
    <w:link w:val="4"/>
    <w:semiHidden/>
    <w:uiPriority w:val="99"/>
    <w:rPr>
      <w:rFonts w:ascii="Segoe UI" w:hAnsi="Segoe UI" w:eastAsia="宋体" w:cs="Segoe UI"/>
      <w:sz w:val="18"/>
      <w:szCs w:val="18"/>
      <w:lang w:bidi="ar-AE"/>
    </w:rPr>
  </w:style>
  <w:style w:type="character" w:customStyle="1" w:styleId="19">
    <w:name w:val="正文文本 2 字符"/>
    <w:basedOn w:val="8"/>
    <w:link w:val="7"/>
    <w:semiHidden/>
    <w:uiPriority w:val="99"/>
    <w:rPr>
      <w:rFonts w:ascii="Times New Roman" w:hAnsi="Times New Roman" w:eastAsia="宋体" w:cs="Times New Roman"/>
      <w:sz w:val="24"/>
      <w:szCs w:val="24"/>
      <w:lang w:bidi="ar-AE"/>
    </w:rPr>
  </w:style>
  <w:style w:type="paragraph" w:customStyle="1" w:styleId="20">
    <w:name w:val="General 3 L9"/>
    <w:basedOn w:val="1"/>
    <w:uiPriority w:val="0"/>
    <w:pPr>
      <w:numPr>
        <w:ilvl w:val="8"/>
        <w:numId w:val="1"/>
      </w:numPr>
      <w:outlineLvl w:val="8"/>
    </w:pPr>
    <w:rPr>
      <w:rFonts w:cs="Simplified Arabic"/>
      <w:bCs/>
    </w:rPr>
  </w:style>
  <w:style w:type="paragraph" w:customStyle="1" w:styleId="21">
    <w:name w:val="General 3 L8"/>
    <w:basedOn w:val="1"/>
    <w:uiPriority w:val="0"/>
    <w:pPr>
      <w:numPr>
        <w:ilvl w:val="7"/>
        <w:numId w:val="1"/>
      </w:numPr>
      <w:outlineLvl w:val="7"/>
    </w:pPr>
    <w:rPr>
      <w:rFonts w:cs="Simplified Arabic"/>
      <w:bCs/>
    </w:rPr>
  </w:style>
  <w:style w:type="paragraph" w:customStyle="1" w:styleId="22">
    <w:name w:val="General 3 L7"/>
    <w:basedOn w:val="1"/>
    <w:uiPriority w:val="0"/>
    <w:pPr>
      <w:numPr>
        <w:ilvl w:val="6"/>
        <w:numId w:val="1"/>
      </w:numPr>
      <w:outlineLvl w:val="6"/>
    </w:pPr>
    <w:rPr>
      <w:rFonts w:cs="Simplified Arabic"/>
      <w:bCs/>
    </w:rPr>
  </w:style>
  <w:style w:type="paragraph" w:customStyle="1" w:styleId="23">
    <w:name w:val="General 3 L6"/>
    <w:basedOn w:val="1"/>
    <w:uiPriority w:val="0"/>
    <w:pPr>
      <w:numPr>
        <w:ilvl w:val="5"/>
        <w:numId w:val="1"/>
      </w:numPr>
      <w:outlineLvl w:val="5"/>
    </w:pPr>
    <w:rPr>
      <w:rFonts w:cs="Simplified Arabic"/>
      <w:bCs/>
    </w:rPr>
  </w:style>
  <w:style w:type="paragraph" w:customStyle="1" w:styleId="24">
    <w:name w:val="General 3 L5"/>
    <w:basedOn w:val="1"/>
    <w:next w:val="1"/>
    <w:qFormat/>
    <w:uiPriority w:val="0"/>
    <w:pPr>
      <w:numPr>
        <w:ilvl w:val="4"/>
        <w:numId w:val="1"/>
      </w:numPr>
      <w:outlineLvl w:val="4"/>
    </w:pPr>
    <w:rPr>
      <w:rFonts w:cs="Simplified Arabic"/>
      <w:bCs/>
    </w:rPr>
  </w:style>
  <w:style w:type="paragraph" w:customStyle="1" w:styleId="25">
    <w:name w:val="General 3 L4"/>
    <w:basedOn w:val="1"/>
    <w:next w:val="2"/>
    <w:qFormat/>
    <w:uiPriority w:val="0"/>
    <w:pPr>
      <w:numPr>
        <w:ilvl w:val="3"/>
        <w:numId w:val="1"/>
      </w:numPr>
      <w:outlineLvl w:val="3"/>
    </w:pPr>
    <w:rPr>
      <w:rFonts w:cs="Simplified Arabic"/>
      <w:bCs/>
    </w:rPr>
  </w:style>
  <w:style w:type="paragraph" w:customStyle="1" w:styleId="26">
    <w:name w:val="General 3 L3"/>
    <w:basedOn w:val="1"/>
    <w:next w:val="7"/>
    <w:qFormat/>
    <w:uiPriority w:val="0"/>
    <w:pPr>
      <w:numPr>
        <w:ilvl w:val="2"/>
        <w:numId w:val="1"/>
      </w:numPr>
      <w:outlineLvl w:val="2"/>
    </w:pPr>
    <w:rPr>
      <w:rFonts w:cs="Simplified Arabic"/>
      <w:bCs/>
    </w:rPr>
  </w:style>
  <w:style w:type="paragraph" w:customStyle="1" w:styleId="27">
    <w:name w:val="General 3 L2"/>
    <w:basedOn w:val="1"/>
    <w:next w:val="1"/>
    <w:qFormat/>
    <w:uiPriority w:val="0"/>
    <w:pPr>
      <w:numPr>
        <w:ilvl w:val="1"/>
        <w:numId w:val="1"/>
      </w:numPr>
      <w:outlineLvl w:val="1"/>
    </w:pPr>
    <w:rPr>
      <w:rFonts w:cs="Simplified Arabic"/>
      <w:bCs/>
    </w:rPr>
  </w:style>
  <w:style w:type="paragraph" w:customStyle="1" w:styleId="28">
    <w:name w:val="General 3 L1"/>
    <w:basedOn w:val="1"/>
    <w:next w:val="1"/>
    <w:qFormat/>
    <w:uiPriority w:val="0"/>
    <w:pPr>
      <w:numPr>
        <w:ilvl w:val="0"/>
        <w:numId w:val="1"/>
      </w:numPr>
      <w:outlineLvl w:val="0"/>
    </w:pPr>
    <w:rPr>
      <w:rFonts w:cs="Simplified Arabic"/>
      <w:bCs/>
    </w:rPr>
  </w:style>
  <w:style w:type="character" w:customStyle="1" w:styleId="29">
    <w:name w:val="正文文本 3 字符"/>
    <w:basedOn w:val="8"/>
    <w:link w:val="2"/>
    <w:semiHidden/>
    <w:uiPriority w:val="99"/>
    <w:rPr>
      <w:rFonts w:ascii="Times New Roman" w:hAnsi="Times New Roman" w:eastAsia="宋体" w:cs="Times New Roman"/>
      <w:sz w:val="16"/>
      <w:szCs w:val="16"/>
      <w:lang w:bidi="ar-AE"/>
    </w:rPr>
  </w:style>
  <w:style w:type="paragraph" w:customStyle="1" w:styleId="3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103</Words>
  <Characters>590</Characters>
  <Lines>4</Lines>
  <Paragraphs>1</Paragraphs>
  <ScaleCrop>false</ScaleCrop>
  <LinksUpToDate>false</LinksUpToDate>
  <CharactersWithSpaces>692</CharactersWithSpaces>
  <Application>WPS Office_2.2.0.3563_F1E327BC-269C-435d-A152-05C5408002CA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2020-08-13T12:13:00Z</dcterms:created>
  <dc:creator>XU, Xiaoyu /ZL</dc:creator>
  <cp:lastModifiedBy>c</cp:lastModifiedBy>
  <dcterms:modified xsi:type="dcterms:W3CDTF">2020-08-13T13:48:09Z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2052-2.2.0.3563</vt:lpwstr>
  </property>
</Properties>
</file>