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eastAsia="仿宋"/>
          <w:b/>
          <w:kern w:val="0"/>
          <w:sz w:val="20"/>
          <w:szCs w:val="20"/>
        </w:rPr>
      </w:pPr>
      <w:r>
        <w:rPr>
          <w:rFonts w:ascii="Times New Roman" w:hAnsi="Times New Roman" w:eastAsia="仿宋"/>
          <w:b/>
          <w:kern w:val="0"/>
          <w:sz w:val="20"/>
          <w:szCs w:val="20"/>
        </w:rPr>
        <w:t>经营者集中简易案件公示表</w:t>
      </w:r>
    </w:p>
    <w:p>
      <w:pPr>
        <w:rPr>
          <w:rFonts w:ascii="Times New Roman" w:hAnsi="Times New Roman" w:eastAsia="仿宋"/>
          <w:sz w:val="20"/>
          <w:szCs w:val="20"/>
        </w:rPr>
      </w:pPr>
    </w:p>
    <w:tbl>
      <w:tblPr>
        <w:tblStyle w:val="1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6"/>
        <w:gridCol w:w="1882"/>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46" w:type="dxa"/>
            <w:shd w:val="clear" w:color="auto" w:fill="D9D9D9"/>
            <w:vAlign w:val="center"/>
          </w:tcPr>
          <w:p>
            <w:pPr>
              <w:jc w:val="center"/>
              <w:rPr>
                <w:rFonts w:ascii="Times New Roman" w:hAnsi="Times New Roman" w:eastAsia="仿宋"/>
                <w:b/>
                <w:sz w:val="20"/>
                <w:szCs w:val="20"/>
              </w:rPr>
            </w:pPr>
            <w:bookmarkStart w:id="0" w:name="_Hlk40175865"/>
            <w:r>
              <w:rPr>
                <w:rFonts w:ascii="Times New Roman" w:hAnsi="Times New Roman" w:eastAsia="仿宋"/>
                <w:b/>
                <w:sz w:val="20"/>
                <w:szCs w:val="20"/>
              </w:rPr>
              <w:t>案件名称</w:t>
            </w:r>
          </w:p>
        </w:tc>
        <w:tc>
          <w:tcPr>
            <w:tcW w:w="6418" w:type="dxa"/>
            <w:gridSpan w:val="2"/>
          </w:tcPr>
          <w:p>
            <w:pPr>
              <w:rPr>
                <w:rFonts w:ascii="Times New Roman" w:hAnsi="Times New Roman" w:eastAsia="仿宋"/>
                <w:sz w:val="20"/>
                <w:szCs w:val="20"/>
              </w:rPr>
            </w:pPr>
            <w:r>
              <w:rPr>
                <w:rFonts w:hint="eastAsia" w:ascii="Times New Roman" w:hAnsi="Times New Roman" w:eastAsia="仿宋"/>
                <w:sz w:val="20"/>
                <w:szCs w:val="20"/>
              </w:rPr>
              <w:t>佳世达科技股份有限公司收购明泰科技股份有限公司股权案</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39" w:hRule="atLeast"/>
        </w:trPr>
        <w:tc>
          <w:tcPr>
            <w:tcW w:w="1946" w:type="dxa"/>
            <w:shd w:val="clear" w:color="auto" w:fill="D9D9D9"/>
            <w:vAlign w:val="center"/>
          </w:tcPr>
          <w:p>
            <w:pPr>
              <w:jc w:val="center"/>
              <w:rPr>
                <w:rFonts w:ascii="Times New Roman" w:hAnsi="Times New Roman" w:eastAsia="仿宋"/>
                <w:b/>
                <w:sz w:val="20"/>
                <w:szCs w:val="20"/>
              </w:rPr>
            </w:pPr>
            <w:r>
              <w:rPr>
                <w:rFonts w:ascii="Times New Roman" w:hAnsi="Times New Roman" w:eastAsia="仿宋"/>
                <w:b/>
                <w:sz w:val="20"/>
                <w:szCs w:val="20"/>
              </w:rPr>
              <w:t>交易概况（不超过200字）</w:t>
            </w:r>
          </w:p>
        </w:tc>
        <w:tc>
          <w:tcPr>
            <w:tcW w:w="6418" w:type="dxa"/>
            <w:gridSpan w:val="2"/>
            <w:vAlign w:val="center"/>
          </w:tcPr>
          <w:p>
            <w:pPr>
              <w:widowControl/>
              <w:snapToGrid w:val="0"/>
              <w:spacing w:before="240"/>
              <w:rPr>
                <w:rFonts w:ascii="Times New Roman" w:hAnsi="Times New Roman" w:eastAsia="仿宋"/>
                <w:sz w:val="20"/>
                <w:szCs w:val="20"/>
              </w:rPr>
            </w:pPr>
            <w:r>
              <w:rPr>
                <w:rFonts w:hint="eastAsia" w:ascii="Times New Roman" w:hAnsi="Times New Roman" w:eastAsia="仿宋"/>
                <w:sz w:val="20"/>
                <w:szCs w:val="20"/>
              </w:rPr>
              <w:t>本次交易为由佳世达科技股份有限公司（“佳世达”）收购原由友讯科技股份有限公司及其关联实体所持有的明泰科技股份有限公司（“明泰”）的16.4%的股份，由此取得对明泰的控制权。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04" w:hRule="atLeast"/>
        </w:trPr>
        <w:tc>
          <w:tcPr>
            <w:tcW w:w="1946" w:type="dxa"/>
            <w:vMerge w:val="restart"/>
            <w:shd w:val="clear" w:color="auto" w:fill="D9D9D9"/>
            <w:vAlign w:val="center"/>
          </w:tcPr>
          <w:p>
            <w:pPr>
              <w:jc w:val="center"/>
              <w:rPr>
                <w:rFonts w:ascii="Times New Roman" w:hAnsi="Times New Roman" w:eastAsia="仿宋"/>
                <w:b/>
                <w:sz w:val="20"/>
                <w:szCs w:val="20"/>
              </w:rPr>
            </w:pPr>
            <w:r>
              <w:rPr>
                <w:rFonts w:ascii="Times New Roman" w:hAnsi="Times New Roman" w:eastAsia="仿宋"/>
                <w:b/>
                <w:sz w:val="20"/>
                <w:szCs w:val="20"/>
              </w:rPr>
              <w:t>参与集中的经营者简介</w:t>
            </w:r>
          </w:p>
        </w:tc>
        <w:tc>
          <w:tcPr>
            <w:tcW w:w="1882" w:type="dxa"/>
            <w:vAlign w:val="center"/>
          </w:tcPr>
          <w:p>
            <w:pPr>
              <w:numPr>
                <w:ilvl w:val="0"/>
                <w:numId w:val="1"/>
              </w:numPr>
              <w:rPr>
                <w:rFonts w:ascii="Times New Roman" w:hAnsi="Times New Roman" w:eastAsia="仿宋"/>
                <w:sz w:val="20"/>
                <w:szCs w:val="20"/>
              </w:rPr>
            </w:pPr>
            <w:r>
              <w:rPr>
                <w:rFonts w:hint="eastAsia" w:ascii="Times New Roman" w:hAnsi="Times New Roman" w:eastAsia="仿宋"/>
                <w:sz w:val="20"/>
                <w:szCs w:val="20"/>
              </w:rPr>
              <w:t>佳世达</w:t>
            </w:r>
          </w:p>
        </w:tc>
        <w:tc>
          <w:tcPr>
            <w:tcW w:w="4536" w:type="dxa"/>
            <w:vAlign w:val="center"/>
          </w:tcPr>
          <w:p>
            <w:pPr>
              <w:widowControl/>
              <w:snapToGrid w:val="0"/>
              <w:jc w:val="left"/>
              <w:rPr>
                <w:rFonts w:ascii="Times New Roman" w:hAnsi="Times New Roman" w:eastAsia="仿宋"/>
                <w:sz w:val="20"/>
                <w:szCs w:val="20"/>
              </w:rPr>
            </w:pPr>
            <w:r>
              <w:rPr>
                <w:rFonts w:hint="eastAsia" w:ascii="Times New Roman" w:hAnsi="Times New Roman" w:eastAsia="仿宋"/>
                <w:sz w:val="20"/>
                <w:szCs w:val="20"/>
              </w:rPr>
              <w:t>佳世达作为一家跨领域电子设计代工公司，主营产品包括液晶显示器、投影机、POS系统设备产品以及偏光片产品。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9" w:hRule="atLeast"/>
        </w:trPr>
        <w:tc>
          <w:tcPr>
            <w:tcW w:w="1946" w:type="dxa"/>
            <w:vMerge w:val="continue"/>
            <w:shd w:val="clear" w:color="auto" w:fill="D9D9D9"/>
            <w:vAlign w:val="center"/>
          </w:tcPr>
          <w:p>
            <w:pPr>
              <w:jc w:val="center"/>
              <w:rPr>
                <w:rFonts w:ascii="Times New Roman" w:hAnsi="Times New Roman" w:eastAsia="仿宋"/>
                <w:b/>
                <w:sz w:val="20"/>
                <w:szCs w:val="20"/>
              </w:rPr>
            </w:pPr>
          </w:p>
        </w:tc>
        <w:tc>
          <w:tcPr>
            <w:tcW w:w="1882" w:type="dxa"/>
            <w:vAlign w:val="center"/>
          </w:tcPr>
          <w:p>
            <w:pPr>
              <w:numPr>
                <w:ilvl w:val="0"/>
                <w:numId w:val="1"/>
              </w:numPr>
              <w:rPr>
                <w:rFonts w:ascii="Times New Roman" w:hAnsi="Times New Roman" w:eastAsia="仿宋"/>
                <w:sz w:val="20"/>
                <w:szCs w:val="20"/>
              </w:rPr>
            </w:pPr>
            <w:r>
              <w:rPr>
                <w:rFonts w:ascii="Times New Roman" w:hAnsi="Times New Roman" w:eastAsia="仿宋"/>
                <w:sz w:val="20"/>
                <w:szCs w:val="20"/>
              </w:rPr>
              <w:t>明泰</w:t>
            </w:r>
          </w:p>
        </w:tc>
        <w:tc>
          <w:tcPr>
            <w:tcW w:w="4536" w:type="dxa"/>
            <w:vAlign w:val="center"/>
          </w:tcPr>
          <w:p>
            <w:pPr>
              <w:widowControl/>
              <w:snapToGrid w:val="0"/>
              <w:rPr>
                <w:rFonts w:ascii="Times New Roman" w:hAnsi="Times New Roman" w:eastAsia="仿宋"/>
                <w:sz w:val="20"/>
                <w:szCs w:val="20"/>
              </w:rPr>
            </w:pPr>
            <w:r>
              <w:rPr>
                <w:rFonts w:hint="eastAsia" w:ascii="Times New Roman" w:hAnsi="Times New Roman" w:eastAsia="仿宋"/>
                <w:sz w:val="20"/>
                <w:szCs w:val="20"/>
              </w:rPr>
              <w:t>明泰作为台湾网通设备代工厂之一，以研发、生产、销售网络通信设备产品为主营业务，主营产品包括以太网交换机、无线网络通信产品等。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946" w:type="dxa"/>
            <w:vMerge w:val="restart"/>
            <w:shd w:val="clear" w:color="auto" w:fill="D9D9D9"/>
            <w:vAlign w:val="center"/>
          </w:tcPr>
          <w:p>
            <w:pPr>
              <w:jc w:val="center"/>
              <w:rPr>
                <w:rFonts w:ascii="Times New Roman" w:hAnsi="Times New Roman" w:eastAsia="仿宋"/>
                <w:b/>
                <w:sz w:val="20"/>
                <w:szCs w:val="20"/>
              </w:rPr>
            </w:pPr>
            <w:r>
              <w:rPr>
                <w:rFonts w:ascii="Times New Roman" w:hAnsi="Times New Roman" w:eastAsia="仿宋"/>
                <w:b/>
                <w:sz w:val="20"/>
                <w:szCs w:val="20"/>
              </w:rPr>
              <w:t>简易案件理由</w:t>
            </w:r>
          </w:p>
          <w:p>
            <w:pPr>
              <w:jc w:val="center"/>
              <w:rPr>
                <w:rFonts w:ascii="Times New Roman" w:hAnsi="Times New Roman" w:eastAsia="仿宋"/>
                <w:b/>
                <w:sz w:val="20"/>
                <w:szCs w:val="20"/>
              </w:rPr>
            </w:pPr>
            <w:r>
              <w:rPr>
                <w:rFonts w:ascii="Times New Roman" w:hAnsi="Times New Roman" w:eastAsia="仿宋"/>
                <w:b/>
                <w:sz w:val="20"/>
                <w:szCs w:val="20"/>
              </w:rPr>
              <w:t>(可以单选，也</w:t>
            </w:r>
          </w:p>
          <w:p>
            <w:pPr>
              <w:jc w:val="center"/>
              <w:rPr>
                <w:rFonts w:ascii="Times New Roman" w:hAnsi="Times New Roman" w:eastAsia="仿宋"/>
                <w:b/>
                <w:sz w:val="20"/>
                <w:szCs w:val="20"/>
              </w:rPr>
            </w:pPr>
            <w:r>
              <w:rPr>
                <w:rFonts w:ascii="Times New Roman" w:hAnsi="Times New Roman" w:eastAsia="仿宋"/>
                <w:b/>
                <w:sz w:val="20"/>
                <w:szCs w:val="20"/>
              </w:rPr>
              <w:t>可以多选)</w:t>
            </w:r>
          </w:p>
        </w:tc>
        <w:tc>
          <w:tcPr>
            <w:tcW w:w="6418" w:type="dxa"/>
            <w:gridSpan w:val="2"/>
          </w:tcPr>
          <w:p>
            <w:pPr>
              <w:pStyle w:val="7"/>
              <w:shd w:val="clear" w:color="auto" w:fill="FFFFFF"/>
              <w:rPr>
                <w:rFonts w:eastAsia="仿宋"/>
                <w:sz w:val="20"/>
                <w:szCs w:val="20"/>
              </w:rPr>
            </w:pPr>
            <w:r>
              <w:rPr>
                <w:rFonts w:eastAsia="仿宋"/>
                <w:sz w:val="20"/>
                <w:szCs w:val="20"/>
              </w:rPr>
              <w:sym w:font="Wingdings" w:char="00A8"/>
            </w:r>
            <w:r>
              <w:rPr>
                <w:rFonts w:eastAsia="仿宋"/>
                <w:sz w:val="20"/>
                <w:szCs w:val="20"/>
              </w:rPr>
              <w:t xml:space="preserve"> 1. </w:t>
            </w:r>
            <w:r>
              <w:rPr>
                <w:rFonts w:eastAsia="仿宋"/>
                <w:color w:val="333333"/>
                <w:sz w:val="20"/>
                <w:szCs w:val="20"/>
              </w:rPr>
              <w:t>在同一相关市场，所有参与集中的经营者所占市场份额之和小于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946" w:type="dxa"/>
            <w:vMerge w:val="continue"/>
            <w:shd w:val="clear" w:color="auto" w:fill="D9D9D9"/>
            <w:vAlign w:val="center"/>
          </w:tcPr>
          <w:p>
            <w:pPr>
              <w:jc w:val="center"/>
              <w:rPr>
                <w:rFonts w:ascii="Times New Roman" w:hAnsi="Times New Roman" w:eastAsia="仿宋"/>
                <w:b/>
                <w:sz w:val="20"/>
                <w:szCs w:val="20"/>
              </w:rPr>
            </w:pPr>
          </w:p>
        </w:tc>
        <w:tc>
          <w:tcPr>
            <w:tcW w:w="6418" w:type="dxa"/>
            <w:gridSpan w:val="2"/>
          </w:tcPr>
          <w:p>
            <w:pPr>
              <w:pStyle w:val="7"/>
              <w:shd w:val="clear" w:color="auto" w:fill="FFFFFF"/>
              <w:rPr>
                <w:rFonts w:eastAsia="仿宋"/>
                <w:sz w:val="20"/>
                <w:szCs w:val="20"/>
              </w:rPr>
            </w:pPr>
            <w:r>
              <w:rPr>
                <w:rFonts w:eastAsia="仿宋"/>
                <w:sz w:val="20"/>
                <w:szCs w:val="20"/>
              </w:rPr>
              <w:sym w:font="Wingdings" w:char="00A8"/>
            </w:r>
            <w:r>
              <w:rPr>
                <w:rFonts w:eastAsia="仿宋"/>
                <w:sz w:val="20"/>
                <w:szCs w:val="20"/>
              </w:rPr>
              <w:t xml:space="preserve"> 2. </w:t>
            </w:r>
            <w:r>
              <w:rPr>
                <w:rFonts w:eastAsia="仿宋"/>
                <w:color w:val="333333"/>
                <w:sz w:val="20"/>
                <w:szCs w:val="20"/>
              </w:rPr>
              <w:t>存在上下游关系的参与集中的经营者，在上下游市场所占的市场份额均小于 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946" w:type="dxa"/>
            <w:vMerge w:val="continue"/>
            <w:shd w:val="clear" w:color="auto" w:fill="D9D9D9"/>
            <w:vAlign w:val="center"/>
          </w:tcPr>
          <w:p>
            <w:pPr>
              <w:jc w:val="center"/>
              <w:rPr>
                <w:rFonts w:ascii="Times New Roman" w:hAnsi="Times New Roman" w:eastAsia="仿宋"/>
                <w:b/>
                <w:sz w:val="20"/>
                <w:szCs w:val="20"/>
              </w:rPr>
            </w:pPr>
          </w:p>
        </w:tc>
        <w:tc>
          <w:tcPr>
            <w:tcW w:w="6418" w:type="dxa"/>
            <w:gridSpan w:val="2"/>
          </w:tcPr>
          <w:p>
            <w:pPr>
              <w:pStyle w:val="7"/>
              <w:shd w:val="clear" w:color="auto" w:fill="FFFFFF"/>
              <w:rPr>
                <w:rFonts w:eastAsia="仿宋"/>
                <w:sz w:val="20"/>
                <w:szCs w:val="20"/>
              </w:rPr>
            </w:pPr>
            <w:r>
              <w:rPr>
                <w:rFonts w:eastAsia="仿宋"/>
                <w:sz w:val="20"/>
                <w:szCs w:val="20"/>
              </w:rPr>
              <w:sym w:font="Wingdings" w:char="F0FE"/>
            </w:r>
            <w:r>
              <w:rPr>
                <w:rFonts w:eastAsia="仿宋"/>
                <w:sz w:val="20"/>
                <w:szCs w:val="20"/>
              </w:rPr>
              <w:t xml:space="preserve"> 3. </w:t>
            </w:r>
            <w:r>
              <w:rPr>
                <w:rFonts w:eastAsia="仿宋"/>
                <w:color w:val="333333"/>
                <w:sz w:val="20"/>
                <w:szCs w:val="20"/>
              </w:rPr>
              <w:t>不在同一相关市场、也不存在上下游关系的参与集中的经营者，在与交易有关的每个市场所占的份额均小于 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4" w:hRule="atLeast"/>
        </w:trPr>
        <w:tc>
          <w:tcPr>
            <w:tcW w:w="1946" w:type="dxa"/>
            <w:vMerge w:val="continue"/>
            <w:shd w:val="clear" w:color="auto" w:fill="D9D9D9"/>
            <w:vAlign w:val="center"/>
          </w:tcPr>
          <w:p>
            <w:pPr>
              <w:jc w:val="center"/>
              <w:rPr>
                <w:rFonts w:ascii="Times New Roman" w:hAnsi="Times New Roman" w:eastAsia="仿宋"/>
                <w:b/>
                <w:sz w:val="20"/>
                <w:szCs w:val="20"/>
              </w:rPr>
            </w:pPr>
          </w:p>
        </w:tc>
        <w:tc>
          <w:tcPr>
            <w:tcW w:w="6418" w:type="dxa"/>
            <w:gridSpan w:val="2"/>
          </w:tcPr>
          <w:p>
            <w:pPr>
              <w:pStyle w:val="7"/>
              <w:shd w:val="clear" w:color="auto" w:fill="FFFFFF"/>
              <w:rPr>
                <w:rFonts w:eastAsia="仿宋"/>
                <w:sz w:val="20"/>
                <w:szCs w:val="20"/>
              </w:rPr>
            </w:pPr>
            <w:r>
              <w:rPr>
                <w:rFonts w:eastAsia="仿宋"/>
                <w:sz w:val="20"/>
                <w:szCs w:val="20"/>
              </w:rPr>
              <w:sym w:font="Wingdings" w:char="00A8"/>
            </w:r>
            <w:r>
              <w:rPr>
                <w:rFonts w:eastAsia="仿宋"/>
                <w:sz w:val="20"/>
                <w:szCs w:val="20"/>
              </w:rPr>
              <w:t xml:space="preserve"> 4. </w:t>
            </w:r>
            <w:r>
              <w:rPr>
                <w:rFonts w:eastAsia="仿宋"/>
                <w:color w:val="333333"/>
                <w:sz w:val="20"/>
                <w:szCs w:val="20"/>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946" w:type="dxa"/>
            <w:vMerge w:val="continue"/>
            <w:shd w:val="clear" w:color="auto" w:fill="D9D9D9"/>
            <w:vAlign w:val="center"/>
          </w:tcPr>
          <w:p>
            <w:pPr>
              <w:jc w:val="center"/>
              <w:rPr>
                <w:rFonts w:ascii="Times New Roman" w:hAnsi="Times New Roman" w:eastAsia="仿宋"/>
                <w:b/>
                <w:sz w:val="20"/>
                <w:szCs w:val="20"/>
              </w:rPr>
            </w:pPr>
          </w:p>
        </w:tc>
        <w:tc>
          <w:tcPr>
            <w:tcW w:w="6418" w:type="dxa"/>
            <w:gridSpan w:val="2"/>
          </w:tcPr>
          <w:p>
            <w:pPr>
              <w:pStyle w:val="7"/>
              <w:shd w:val="clear" w:color="auto" w:fill="FFFFFF"/>
              <w:rPr>
                <w:rFonts w:eastAsia="仿宋"/>
                <w:sz w:val="20"/>
                <w:szCs w:val="20"/>
              </w:rPr>
            </w:pPr>
            <w:r>
              <w:rPr>
                <w:rFonts w:eastAsia="仿宋"/>
                <w:sz w:val="20"/>
                <w:szCs w:val="20"/>
              </w:rPr>
              <w:sym w:font="Wingdings" w:char="00A8"/>
            </w:r>
            <w:r>
              <w:rPr>
                <w:rFonts w:eastAsia="仿宋"/>
                <w:sz w:val="20"/>
                <w:szCs w:val="20"/>
              </w:rPr>
              <w:t xml:space="preserve"> 5. </w:t>
            </w:r>
            <w:r>
              <w:rPr>
                <w:rFonts w:eastAsia="仿宋"/>
                <w:color w:val="333333"/>
                <w:sz w:val="20"/>
                <w:szCs w:val="20"/>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946" w:type="dxa"/>
            <w:vMerge w:val="continue"/>
            <w:shd w:val="clear" w:color="auto" w:fill="D9D9D9"/>
            <w:vAlign w:val="center"/>
          </w:tcPr>
          <w:p>
            <w:pPr>
              <w:jc w:val="center"/>
              <w:rPr>
                <w:rFonts w:ascii="Times New Roman" w:hAnsi="Times New Roman" w:eastAsia="仿宋"/>
                <w:b/>
                <w:sz w:val="20"/>
                <w:szCs w:val="20"/>
              </w:rPr>
            </w:pPr>
          </w:p>
        </w:tc>
        <w:tc>
          <w:tcPr>
            <w:tcW w:w="6418" w:type="dxa"/>
            <w:gridSpan w:val="2"/>
          </w:tcPr>
          <w:p>
            <w:pPr>
              <w:pStyle w:val="7"/>
              <w:shd w:val="clear" w:color="auto" w:fill="FFFFFF"/>
              <w:rPr>
                <w:rFonts w:eastAsia="仿宋"/>
                <w:sz w:val="20"/>
                <w:szCs w:val="20"/>
              </w:rPr>
            </w:pPr>
            <w:r>
              <w:rPr>
                <w:rFonts w:eastAsia="仿宋"/>
                <w:sz w:val="20"/>
                <w:szCs w:val="20"/>
              </w:rPr>
              <w:sym w:font="Wingdings" w:char="00A8"/>
            </w:r>
            <w:r>
              <w:rPr>
                <w:rFonts w:eastAsia="仿宋"/>
                <w:sz w:val="20"/>
                <w:szCs w:val="20"/>
              </w:rPr>
              <w:t xml:space="preserve"> 6. </w:t>
            </w:r>
            <w:r>
              <w:rPr>
                <w:rFonts w:eastAsia="仿宋"/>
                <w:color w:val="333333"/>
                <w:sz w:val="20"/>
                <w:szCs w:val="20"/>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48" w:hRule="atLeast"/>
        </w:trPr>
        <w:tc>
          <w:tcPr>
            <w:tcW w:w="1946" w:type="dxa"/>
            <w:shd w:val="clear" w:color="auto" w:fill="D9D9D9"/>
            <w:vAlign w:val="center"/>
          </w:tcPr>
          <w:p>
            <w:pPr>
              <w:jc w:val="center"/>
              <w:rPr>
                <w:rFonts w:ascii="Times New Roman" w:hAnsi="Times New Roman" w:eastAsia="仿宋"/>
                <w:b/>
                <w:sz w:val="20"/>
                <w:szCs w:val="20"/>
              </w:rPr>
            </w:pPr>
            <w:r>
              <w:rPr>
                <w:rFonts w:ascii="Times New Roman" w:hAnsi="Times New Roman" w:eastAsia="仿宋"/>
                <w:b/>
                <w:sz w:val="20"/>
                <w:szCs w:val="20"/>
              </w:rPr>
              <w:t>备注</w:t>
            </w:r>
          </w:p>
        </w:tc>
        <w:tc>
          <w:tcPr>
            <w:tcW w:w="6418" w:type="dxa"/>
            <w:gridSpan w:val="2"/>
          </w:tcPr>
          <w:p>
            <w:pPr>
              <w:jc w:val="left"/>
              <w:rPr>
                <w:rFonts w:ascii="Times New Roman" w:hAnsi="Times New Roman" w:eastAsia="仿宋"/>
                <w:sz w:val="20"/>
                <w:szCs w:val="20"/>
              </w:rPr>
            </w:pPr>
          </w:p>
          <w:p>
            <w:pPr>
              <w:jc w:val="left"/>
              <w:rPr>
                <w:rFonts w:ascii="Times New Roman" w:hAnsi="Times New Roman" w:eastAsia="仿宋"/>
                <w:sz w:val="20"/>
                <w:szCs w:val="20"/>
              </w:rPr>
            </w:pPr>
            <w:r>
              <w:rPr>
                <w:rFonts w:ascii="Times New Roman" w:hAnsi="Times New Roman" w:eastAsia="仿宋"/>
                <w:sz w:val="20"/>
                <w:szCs w:val="20"/>
              </w:rPr>
              <w:t xml:space="preserve">相关市场: </w:t>
            </w:r>
            <w:r>
              <w:rPr>
                <w:rFonts w:hint="eastAsia" w:ascii="Times New Roman" w:hAnsi="Times New Roman" w:eastAsia="仿宋"/>
                <w:sz w:val="20"/>
                <w:szCs w:val="20"/>
              </w:rPr>
              <w:t>全球</w:t>
            </w:r>
            <w:bookmarkStart w:id="1" w:name="OLE_LINK1"/>
            <w:r>
              <w:rPr>
                <w:rFonts w:ascii="Times New Roman" w:hAnsi="Times New Roman" w:eastAsia="仿宋"/>
                <w:sz w:val="20"/>
                <w:szCs w:val="20"/>
              </w:rPr>
              <w:t>以太网交换机</w:t>
            </w:r>
            <w:r>
              <w:rPr>
                <w:rFonts w:hint="eastAsia" w:ascii="Times New Roman" w:hAnsi="Times New Roman" w:eastAsia="仿宋"/>
                <w:sz w:val="20"/>
                <w:szCs w:val="20"/>
              </w:rPr>
              <w:t>原始设计制造服务</w:t>
            </w:r>
            <w:bookmarkEnd w:id="1"/>
            <w:r>
              <w:rPr>
                <w:rFonts w:ascii="Times New Roman" w:hAnsi="Times New Roman" w:eastAsia="仿宋"/>
                <w:sz w:val="20"/>
                <w:szCs w:val="20"/>
              </w:rPr>
              <w:t>市场</w:t>
            </w:r>
          </w:p>
          <w:p>
            <w:pPr>
              <w:jc w:val="left"/>
              <w:rPr>
                <w:rFonts w:ascii="Times New Roman" w:hAnsi="Times New Roman" w:eastAsia="仿宋"/>
                <w:sz w:val="20"/>
                <w:szCs w:val="20"/>
              </w:rPr>
            </w:pPr>
            <w:bookmarkStart w:id="2" w:name="OLE_LINK166"/>
            <w:bookmarkStart w:id="3" w:name="OLE_LINK167"/>
          </w:p>
          <w:bookmarkEnd w:id="2"/>
          <w:bookmarkEnd w:id="3"/>
          <w:tbl>
            <w:tblPr>
              <w:tblStyle w:val="10"/>
              <w:tblW w:w="61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5"/>
              <w:gridCol w:w="2064"/>
              <w:gridCol w:w="20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65" w:type="dxa"/>
                  <w:shd w:val="clear" w:color="auto" w:fill="auto"/>
                </w:tcPr>
                <w:p>
                  <w:pPr>
                    <w:jc w:val="left"/>
                    <w:rPr>
                      <w:rFonts w:ascii="Times New Roman" w:hAnsi="Times New Roman" w:eastAsia="仿宋"/>
                      <w:sz w:val="20"/>
                      <w:szCs w:val="20"/>
                    </w:rPr>
                  </w:pPr>
                </w:p>
              </w:tc>
              <w:tc>
                <w:tcPr>
                  <w:tcW w:w="2064" w:type="dxa"/>
                </w:tcPr>
                <w:p>
                  <w:pPr>
                    <w:jc w:val="left"/>
                    <w:rPr>
                      <w:rFonts w:ascii="Times New Roman" w:hAnsi="Times New Roman" w:eastAsia="仿宋"/>
                      <w:sz w:val="20"/>
                      <w:szCs w:val="20"/>
                    </w:rPr>
                  </w:pPr>
                  <w:r>
                    <w:rPr>
                      <w:rFonts w:hint="eastAsia" w:ascii="Times New Roman" w:hAnsi="Times New Roman" w:eastAsia="仿宋"/>
                      <w:sz w:val="20"/>
                      <w:szCs w:val="20"/>
                    </w:rPr>
                    <w:t>全球</w:t>
                  </w:r>
                  <w:r>
                    <w:rPr>
                      <w:rFonts w:ascii="Times New Roman" w:hAnsi="Times New Roman" w:eastAsia="仿宋"/>
                      <w:sz w:val="20"/>
                      <w:szCs w:val="20"/>
                    </w:rPr>
                    <w:t>市场份额</w:t>
                  </w:r>
                </w:p>
              </w:tc>
              <w:tc>
                <w:tcPr>
                  <w:tcW w:w="2063" w:type="dxa"/>
                  <w:shd w:val="clear" w:color="auto" w:fill="auto"/>
                </w:tcPr>
                <w:p>
                  <w:pPr>
                    <w:jc w:val="left"/>
                    <w:rPr>
                      <w:rFonts w:ascii="Times New Roman" w:hAnsi="Times New Roman" w:eastAsia="仿宋"/>
                      <w:sz w:val="20"/>
                      <w:szCs w:val="20"/>
                    </w:rPr>
                  </w:pPr>
                  <w:r>
                    <w:rPr>
                      <w:rFonts w:ascii="Times New Roman" w:hAnsi="Times New Roman" w:eastAsia="仿宋"/>
                      <w:sz w:val="20"/>
                      <w:szCs w:val="20"/>
                    </w:rPr>
                    <w:t>中国市场份额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65" w:type="dxa"/>
                  <w:shd w:val="clear" w:color="auto" w:fill="auto"/>
                </w:tcPr>
                <w:p>
                  <w:pPr>
                    <w:jc w:val="left"/>
                    <w:rPr>
                      <w:rFonts w:ascii="Times New Roman" w:hAnsi="Times New Roman" w:eastAsia="仿宋"/>
                      <w:sz w:val="20"/>
                      <w:szCs w:val="20"/>
                    </w:rPr>
                  </w:pPr>
                  <w:r>
                    <w:rPr>
                      <w:rFonts w:ascii="Times New Roman" w:hAnsi="Times New Roman" w:eastAsia="仿宋"/>
                      <w:sz w:val="20"/>
                      <w:szCs w:val="20"/>
                    </w:rPr>
                    <w:t>明泰</w:t>
                  </w:r>
                </w:p>
              </w:tc>
              <w:tc>
                <w:tcPr>
                  <w:tcW w:w="2064" w:type="dxa"/>
                </w:tcPr>
                <w:p>
                  <w:pPr>
                    <w:jc w:val="left"/>
                    <w:rPr>
                      <w:rFonts w:ascii="Times New Roman" w:hAnsi="Times New Roman" w:eastAsia="仿宋"/>
                      <w:sz w:val="20"/>
                      <w:szCs w:val="20"/>
                    </w:rPr>
                  </w:pPr>
                  <w:r>
                    <w:rPr>
                      <w:rFonts w:ascii="Times New Roman" w:hAnsi="Times New Roman" w:eastAsia="仿宋"/>
                      <w:sz w:val="20"/>
                      <w:szCs w:val="20"/>
                    </w:rPr>
                    <w:t>[0-5]%</w:t>
                  </w:r>
                </w:p>
              </w:tc>
              <w:tc>
                <w:tcPr>
                  <w:tcW w:w="2063" w:type="dxa"/>
                  <w:shd w:val="clear" w:color="auto" w:fill="auto"/>
                </w:tcPr>
                <w:p>
                  <w:pPr>
                    <w:jc w:val="left"/>
                    <w:rPr>
                      <w:rFonts w:ascii="Times New Roman" w:hAnsi="Times New Roman" w:eastAsia="仿宋"/>
                      <w:sz w:val="20"/>
                      <w:szCs w:val="20"/>
                    </w:rPr>
                  </w:pPr>
                  <w:r>
                    <w:rPr>
                      <w:rFonts w:ascii="Times New Roman" w:hAnsi="Times New Roman" w:eastAsia="仿宋"/>
                      <w:sz w:val="20"/>
                      <w:szCs w:val="20"/>
                    </w:rPr>
                    <w:t>[0-5]%</w:t>
                  </w:r>
                </w:p>
              </w:tc>
            </w:tr>
          </w:tbl>
          <w:p>
            <w:pPr>
              <w:rPr>
                <w:rFonts w:ascii="Times New Roman" w:hAnsi="Times New Roman" w:eastAsia="仿宋"/>
                <w:sz w:val="20"/>
                <w:szCs w:val="20"/>
              </w:rPr>
            </w:pPr>
          </w:p>
          <w:p>
            <w:pPr>
              <w:jc w:val="left"/>
              <w:rPr>
                <w:rFonts w:ascii="Times New Roman" w:hAnsi="Times New Roman" w:eastAsia="仿宋"/>
                <w:sz w:val="20"/>
                <w:szCs w:val="20"/>
              </w:rPr>
            </w:pPr>
            <w:r>
              <w:rPr>
                <w:rFonts w:ascii="Times New Roman" w:hAnsi="Times New Roman" w:eastAsia="仿宋"/>
                <w:sz w:val="20"/>
                <w:szCs w:val="20"/>
              </w:rPr>
              <w:t xml:space="preserve">相关市场: </w:t>
            </w:r>
            <w:r>
              <w:rPr>
                <w:rFonts w:hint="eastAsia" w:ascii="Times New Roman" w:hAnsi="Times New Roman" w:eastAsia="仿宋"/>
                <w:sz w:val="20"/>
                <w:szCs w:val="20"/>
              </w:rPr>
              <w:t>全球</w:t>
            </w:r>
            <w:bookmarkStart w:id="4" w:name="OLE_LINK2"/>
            <w:r>
              <w:rPr>
                <w:rFonts w:ascii="Times New Roman" w:hAnsi="Times New Roman" w:eastAsia="仿宋"/>
                <w:sz w:val="20"/>
                <w:szCs w:val="20"/>
              </w:rPr>
              <w:t>无线网络通信产品</w:t>
            </w:r>
            <w:bookmarkStart w:id="5" w:name="_GoBack"/>
            <w:bookmarkEnd w:id="5"/>
            <w:r>
              <w:rPr>
                <w:rFonts w:hint="eastAsia" w:ascii="Times New Roman" w:hAnsi="Times New Roman" w:eastAsia="仿宋"/>
                <w:sz w:val="20"/>
                <w:szCs w:val="20"/>
              </w:rPr>
              <w:t>原始设计制造服务</w:t>
            </w:r>
            <w:bookmarkEnd w:id="4"/>
            <w:r>
              <w:rPr>
                <w:rFonts w:ascii="Times New Roman" w:hAnsi="Times New Roman" w:eastAsia="仿宋"/>
                <w:sz w:val="20"/>
                <w:szCs w:val="20"/>
              </w:rPr>
              <w:t>市场</w:t>
            </w:r>
          </w:p>
          <w:p>
            <w:pPr>
              <w:jc w:val="left"/>
              <w:rPr>
                <w:rFonts w:ascii="Times New Roman" w:hAnsi="Times New Roman" w:eastAsia="仿宋"/>
                <w:sz w:val="20"/>
                <w:szCs w:val="20"/>
              </w:rPr>
            </w:pPr>
          </w:p>
          <w:tbl>
            <w:tblPr>
              <w:tblStyle w:val="10"/>
              <w:tblW w:w="61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5"/>
              <w:gridCol w:w="2052"/>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65" w:type="dxa"/>
                  <w:shd w:val="clear" w:color="auto" w:fill="auto"/>
                </w:tcPr>
                <w:p>
                  <w:pPr>
                    <w:jc w:val="left"/>
                    <w:rPr>
                      <w:rFonts w:ascii="Times New Roman" w:hAnsi="Times New Roman" w:eastAsia="仿宋"/>
                      <w:sz w:val="20"/>
                      <w:szCs w:val="20"/>
                    </w:rPr>
                  </w:pPr>
                </w:p>
              </w:tc>
              <w:tc>
                <w:tcPr>
                  <w:tcW w:w="2052" w:type="dxa"/>
                </w:tcPr>
                <w:p>
                  <w:pPr>
                    <w:jc w:val="left"/>
                    <w:rPr>
                      <w:rFonts w:ascii="Times New Roman" w:hAnsi="Times New Roman" w:eastAsia="仿宋"/>
                      <w:sz w:val="20"/>
                      <w:szCs w:val="20"/>
                    </w:rPr>
                  </w:pPr>
                  <w:r>
                    <w:rPr>
                      <w:rFonts w:hint="eastAsia" w:ascii="Times New Roman" w:hAnsi="Times New Roman" w:eastAsia="仿宋"/>
                      <w:sz w:val="20"/>
                      <w:szCs w:val="20"/>
                    </w:rPr>
                    <w:t>全球</w:t>
                  </w:r>
                  <w:r>
                    <w:rPr>
                      <w:rFonts w:ascii="Times New Roman" w:hAnsi="Times New Roman" w:eastAsia="仿宋"/>
                      <w:sz w:val="20"/>
                      <w:szCs w:val="20"/>
                    </w:rPr>
                    <w:t>市场份额</w:t>
                  </w:r>
                </w:p>
              </w:tc>
              <w:tc>
                <w:tcPr>
                  <w:tcW w:w="2075" w:type="dxa"/>
                  <w:shd w:val="clear" w:color="auto" w:fill="auto"/>
                </w:tcPr>
                <w:p>
                  <w:pPr>
                    <w:jc w:val="left"/>
                    <w:rPr>
                      <w:rFonts w:ascii="Times New Roman" w:hAnsi="Times New Roman" w:eastAsia="仿宋"/>
                      <w:sz w:val="20"/>
                      <w:szCs w:val="20"/>
                    </w:rPr>
                  </w:pPr>
                  <w:r>
                    <w:rPr>
                      <w:rFonts w:ascii="Times New Roman" w:hAnsi="Times New Roman" w:eastAsia="仿宋"/>
                      <w:sz w:val="20"/>
                      <w:szCs w:val="20"/>
                    </w:rPr>
                    <w:t>中国市场份额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65" w:type="dxa"/>
                  <w:shd w:val="clear" w:color="auto" w:fill="auto"/>
                </w:tcPr>
                <w:p>
                  <w:pPr>
                    <w:jc w:val="left"/>
                    <w:rPr>
                      <w:rFonts w:ascii="Times New Roman" w:hAnsi="Times New Roman" w:eastAsia="仿宋"/>
                      <w:sz w:val="20"/>
                      <w:szCs w:val="20"/>
                    </w:rPr>
                  </w:pPr>
                  <w:r>
                    <w:rPr>
                      <w:rFonts w:ascii="Times New Roman" w:hAnsi="Times New Roman" w:eastAsia="仿宋"/>
                      <w:sz w:val="20"/>
                      <w:szCs w:val="20"/>
                    </w:rPr>
                    <w:t>明泰</w:t>
                  </w:r>
                </w:p>
              </w:tc>
              <w:tc>
                <w:tcPr>
                  <w:tcW w:w="2052" w:type="dxa"/>
                </w:tcPr>
                <w:p>
                  <w:pPr>
                    <w:jc w:val="left"/>
                    <w:rPr>
                      <w:rFonts w:ascii="Times New Roman" w:hAnsi="Times New Roman" w:eastAsia="仿宋"/>
                      <w:sz w:val="20"/>
                      <w:szCs w:val="20"/>
                    </w:rPr>
                  </w:pPr>
                  <w:r>
                    <w:rPr>
                      <w:rFonts w:ascii="Times New Roman" w:hAnsi="Times New Roman" w:eastAsia="仿宋"/>
                      <w:sz w:val="20"/>
                      <w:szCs w:val="20"/>
                    </w:rPr>
                    <w:t>[0-5]%</w:t>
                  </w:r>
                </w:p>
              </w:tc>
              <w:tc>
                <w:tcPr>
                  <w:tcW w:w="2075" w:type="dxa"/>
                  <w:shd w:val="clear" w:color="auto" w:fill="auto"/>
                </w:tcPr>
                <w:p>
                  <w:pPr>
                    <w:jc w:val="left"/>
                    <w:rPr>
                      <w:rFonts w:ascii="Times New Roman" w:hAnsi="Times New Roman" w:eastAsia="仿宋"/>
                      <w:sz w:val="20"/>
                      <w:szCs w:val="20"/>
                    </w:rPr>
                  </w:pPr>
                  <w:r>
                    <w:rPr>
                      <w:rFonts w:ascii="Times New Roman" w:hAnsi="Times New Roman" w:eastAsia="仿宋"/>
                      <w:sz w:val="20"/>
                      <w:szCs w:val="20"/>
                    </w:rPr>
                    <w:t>[0-5]%</w:t>
                  </w:r>
                </w:p>
              </w:tc>
            </w:tr>
          </w:tbl>
          <w:p>
            <w:pPr>
              <w:rPr>
                <w:rFonts w:ascii="Times New Roman" w:hAnsi="Times New Roman" w:eastAsia="仿宋"/>
                <w:sz w:val="20"/>
                <w:szCs w:val="20"/>
              </w:rPr>
            </w:pPr>
          </w:p>
        </w:tc>
      </w:tr>
    </w:tbl>
    <w:p>
      <w:pPr>
        <w:rPr>
          <w:rFonts w:ascii="Times New Roman" w:hAnsi="Times New Roman" w:eastAsia="仿宋"/>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Courier New">
    <w:panose1 w:val="02070309020205020404"/>
    <w:charset w:val="00"/>
    <w:family w:val="modern"/>
    <w:pitch w:val="default"/>
    <w:sig w:usb0="E0002A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75D0B"/>
    <w:multiLevelType w:val="multilevel"/>
    <w:tmpl w:val="11175D0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YxMDQGAiMjS1MDYyUdpeDU4uLM/DyQAsNaAAxkURMsAAAA"/>
  </w:docVars>
  <w:rsids>
    <w:rsidRoot w:val="00094095"/>
    <w:rsid w:val="00001A27"/>
    <w:rsid w:val="00016A5B"/>
    <w:rsid w:val="00023C87"/>
    <w:rsid w:val="00037F4E"/>
    <w:rsid w:val="00042721"/>
    <w:rsid w:val="000679AB"/>
    <w:rsid w:val="00076E09"/>
    <w:rsid w:val="00094095"/>
    <w:rsid w:val="000C7903"/>
    <w:rsid w:val="000D31E3"/>
    <w:rsid w:val="000E7232"/>
    <w:rsid w:val="000F0EB4"/>
    <w:rsid w:val="00110F66"/>
    <w:rsid w:val="00117706"/>
    <w:rsid w:val="00122F4E"/>
    <w:rsid w:val="0014217C"/>
    <w:rsid w:val="00143239"/>
    <w:rsid w:val="001553F2"/>
    <w:rsid w:val="00155FA2"/>
    <w:rsid w:val="001575BB"/>
    <w:rsid w:val="00165C57"/>
    <w:rsid w:val="001779E7"/>
    <w:rsid w:val="00184512"/>
    <w:rsid w:val="0019611C"/>
    <w:rsid w:val="001D1951"/>
    <w:rsid w:val="002013D5"/>
    <w:rsid w:val="00225CFC"/>
    <w:rsid w:val="002272B3"/>
    <w:rsid w:val="00245776"/>
    <w:rsid w:val="00247FC2"/>
    <w:rsid w:val="00256DB2"/>
    <w:rsid w:val="00285588"/>
    <w:rsid w:val="00292EC7"/>
    <w:rsid w:val="002B737D"/>
    <w:rsid w:val="002D08B0"/>
    <w:rsid w:val="002F2D60"/>
    <w:rsid w:val="00307976"/>
    <w:rsid w:val="00310CA1"/>
    <w:rsid w:val="00314EA1"/>
    <w:rsid w:val="00343A25"/>
    <w:rsid w:val="00380B39"/>
    <w:rsid w:val="003A3FF1"/>
    <w:rsid w:val="003A626A"/>
    <w:rsid w:val="003B0368"/>
    <w:rsid w:val="003B2DAC"/>
    <w:rsid w:val="003B7800"/>
    <w:rsid w:val="003E471E"/>
    <w:rsid w:val="003F6084"/>
    <w:rsid w:val="00411AA5"/>
    <w:rsid w:val="00450C52"/>
    <w:rsid w:val="00453FCE"/>
    <w:rsid w:val="004578F7"/>
    <w:rsid w:val="00462174"/>
    <w:rsid w:val="004756D4"/>
    <w:rsid w:val="004867A7"/>
    <w:rsid w:val="004A13F6"/>
    <w:rsid w:val="004A230E"/>
    <w:rsid w:val="004A6AB3"/>
    <w:rsid w:val="004B2A78"/>
    <w:rsid w:val="004C4451"/>
    <w:rsid w:val="004F61B8"/>
    <w:rsid w:val="005012A1"/>
    <w:rsid w:val="005760AC"/>
    <w:rsid w:val="00580C22"/>
    <w:rsid w:val="0058781B"/>
    <w:rsid w:val="005931D3"/>
    <w:rsid w:val="005B3286"/>
    <w:rsid w:val="005C6B32"/>
    <w:rsid w:val="005F1659"/>
    <w:rsid w:val="0060550D"/>
    <w:rsid w:val="00620ACD"/>
    <w:rsid w:val="006439D9"/>
    <w:rsid w:val="006831EF"/>
    <w:rsid w:val="00693928"/>
    <w:rsid w:val="006B0872"/>
    <w:rsid w:val="006B13CF"/>
    <w:rsid w:val="006D298E"/>
    <w:rsid w:val="00700077"/>
    <w:rsid w:val="00754DA1"/>
    <w:rsid w:val="0077230E"/>
    <w:rsid w:val="00790FC2"/>
    <w:rsid w:val="0079142D"/>
    <w:rsid w:val="007B1936"/>
    <w:rsid w:val="007C0F18"/>
    <w:rsid w:val="007F3341"/>
    <w:rsid w:val="007F7064"/>
    <w:rsid w:val="00823375"/>
    <w:rsid w:val="008730CF"/>
    <w:rsid w:val="008841ED"/>
    <w:rsid w:val="00893BC7"/>
    <w:rsid w:val="008C3778"/>
    <w:rsid w:val="008D2C86"/>
    <w:rsid w:val="0090583E"/>
    <w:rsid w:val="0093510F"/>
    <w:rsid w:val="00943AA0"/>
    <w:rsid w:val="00950D65"/>
    <w:rsid w:val="00957386"/>
    <w:rsid w:val="00960883"/>
    <w:rsid w:val="00973258"/>
    <w:rsid w:val="00991A56"/>
    <w:rsid w:val="009A04D6"/>
    <w:rsid w:val="009C3291"/>
    <w:rsid w:val="009D0402"/>
    <w:rsid w:val="009D12C6"/>
    <w:rsid w:val="00A12E05"/>
    <w:rsid w:val="00A30164"/>
    <w:rsid w:val="00A803A9"/>
    <w:rsid w:val="00AF5A51"/>
    <w:rsid w:val="00B00A2B"/>
    <w:rsid w:val="00B215E8"/>
    <w:rsid w:val="00B41369"/>
    <w:rsid w:val="00B5031B"/>
    <w:rsid w:val="00BC0D34"/>
    <w:rsid w:val="00BE4A9A"/>
    <w:rsid w:val="00C306AE"/>
    <w:rsid w:val="00C335F5"/>
    <w:rsid w:val="00C41F4A"/>
    <w:rsid w:val="00C51606"/>
    <w:rsid w:val="00C56A15"/>
    <w:rsid w:val="00C664A3"/>
    <w:rsid w:val="00C70663"/>
    <w:rsid w:val="00C822B7"/>
    <w:rsid w:val="00C9068E"/>
    <w:rsid w:val="00C9272B"/>
    <w:rsid w:val="00CA0870"/>
    <w:rsid w:val="00CB3D81"/>
    <w:rsid w:val="00CB4036"/>
    <w:rsid w:val="00CE7154"/>
    <w:rsid w:val="00D21777"/>
    <w:rsid w:val="00D47982"/>
    <w:rsid w:val="00D53879"/>
    <w:rsid w:val="00D57778"/>
    <w:rsid w:val="00D66061"/>
    <w:rsid w:val="00D97469"/>
    <w:rsid w:val="00DC6F63"/>
    <w:rsid w:val="00DE26C1"/>
    <w:rsid w:val="00DF67BC"/>
    <w:rsid w:val="00E21875"/>
    <w:rsid w:val="00E53472"/>
    <w:rsid w:val="00E7684C"/>
    <w:rsid w:val="00EB286A"/>
    <w:rsid w:val="00ED21B1"/>
    <w:rsid w:val="00F053ED"/>
    <w:rsid w:val="00F23A74"/>
    <w:rsid w:val="00F52E12"/>
    <w:rsid w:val="00F602AB"/>
    <w:rsid w:val="00F63A83"/>
    <w:rsid w:val="00F67D01"/>
    <w:rsid w:val="00F75674"/>
    <w:rsid w:val="00F87C1F"/>
    <w:rsid w:val="00FA0654"/>
    <w:rsid w:val="00FD2C5B"/>
    <w:rsid w:val="00FE6FFA"/>
    <w:rsid w:val="00FF680E"/>
    <w:rsid w:val="19810E89"/>
    <w:rsid w:val="7D836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10">
    <w:name w:val="Normal Table"/>
    <w:semiHidden/>
    <w:unhideWhenUsed/>
    <w:uiPriority w:val="99"/>
    <w:tblPr>
      <w:tblLayout w:type="fixed"/>
      <w:tblCellMar>
        <w:top w:w="0" w:type="dxa"/>
        <w:left w:w="108" w:type="dxa"/>
        <w:bottom w:w="0" w:type="dxa"/>
        <w:right w:w="108" w:type="dxa"/>
      </w:tblCellMar>
    </w:tblPr>
  </w:style>
  <w:style w:type="paragraph" w:styleId="2">
    <w:name w:val="endnote text"/>
    <w:basedOn w:val="1"/>
    <w:link w:val="12"/>
    <w:semiHidden/>
    <w:unhideWhenUsed/>
    <w:qFormat/>
    <w:uiPriority w:val="99"/>
    <w:pPr>
      <w:snapToGrid w:val="0"/>
      <w:jc w:val="left"/>
    </w:pPr>
  </w:style>
  <w:style w:type="paragraph" w:styleId="3">
    <w:name w:val="Balloon Text"/>
    <w:basedOn w:val="1"/>
    <w:link w:val="15"/>
    <w:semiHidden/>
    <w:unhideWhenUsed/>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1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kern w:val="0"/>
      <w:sz w:val="20"/>
      <w:szCs w:val="20"/>
    </w:rPr>
  </w:style>
  <w:style w:type="paragraph" w:styleId="7">
    <w:name w:val="Normal (Web)"/>
    <w:basedOn w:val="1"/>
    <w:unhideWhenUsed/>
    <w:uiPriority w:val="99"/>
    <w:pPr>
      <w:widowControl/>
      <w:spacing w:before="100" w:beforeAutospacing="1" w:after="100" w:afterAutospacing="1"/>
      <w:jc w:val="left"/>
    </w:pPr>
    <w:rPr>
      <w:rFonts w:ascii="Times New Roman" w:hAnsi="Times New Roman" w:eastAsia="Times New Roman"/>
      <w:kern w:val="0"/>
      <w:sz w:val="24"/>
      <w:szCs w:val="24"/>
    </w:rPr>
  </w:style>
  <w:style w:type="character" w:styleId="9">
    <w:name w:val="endnote reference"/>
    <w:semiHidden/>
    <w:unhideWhenUsed/>
    <w:qFormat/>
    <w:uiPriority w:val="99"/>
    <w:rPr>
      <w:vertAlign w:val="superscript"/>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2">
    <w:name w:val="尾注文本 Char"/>
    <w:basedOn w:val="8"/>
    <w:link w:val="2"/>
    <w:semiHidden/>
    <w:qFormat/>
    <w:uiPriority w:val="99"/>
  </w:style>
  <w:style w:type="character" w:customStyle="1" w:styleId="13">
    <w:name w:val="页眉 Char"/>
    <w:link w:val="5"/>
    <w:uiPriority w:val="99"/>
    <w:rPr>
      <w:sz w:val="18"/>
      <w:szCs w:val="18"/>
    </w:rPr>
  </w:style>
  <w:style w:type="character" w:customStyle="1" w:styleId="14">
    <w:name w:val="页脚 Char"/>
    <w:link w:val="4"/>
    <w:qFormat/>
    <w:uiPriority w:val="99"/>
    <w:rPr>
      <w:sz w:val="18"/>
      <w:szCs w:val="18"/>
    </w:rPr>
  </w:style>
  <w:style w:type="character" w:customStyle="1" w:styleId="15">
    <w:name w:val="批注框文本 Char"/>
    <w:basedOn w:val="8"/>
    <w:link w:val="3"/>
    <w:semiHidden/>
    <w:uiPriority w:val="99"/>
    <w:rPr>
      <w:kern w:val="2"/>
      <w:sz w:val="18"/>
      <w:szCs w:val="18"/>
    </w:rPr>
  </w:style>
  <w:style w:type="character" w:customStyle="1" w:styleId="16">
    <w:name w:val="HTML 预设格式 Char"/>
    <w:basedOn w:val="8"/>
    <w:link w:val="6"/>
    <w:semiHidden/>
    <w:uiPriority w:val="99"/>
    <w:rPr>
      <w:rFonts w:ascii="Courier New" w:hAnsi="Courier New" w:eastAsia="Times New Roman" w:cs="Courier Ne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108</Words>
  <Characters>616</Characters>
  <Lines>5</Lines>
  <Paragraphs>1</Paragraphs>
  <TotalTime>16</TotalTime>
  <ScaleCrop>false</ScaleCrop>
  <LinksUpToDate>false</LinksUpToDate>
  <CharactersWithSpaces>723</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2020-09-22T07:23:00Z</dcterms:created>
  <dc:creator>陈媚</dc:creator>
  <cp:lastModifiedBy>陈媚</cp:lastModifiedBy>
  <dcterms:modified xsi:type="dcterms:W3CDTF">2020-10-23T01:48:16Z</dcterms:modified>
  <dc:title>附件二、</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