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480" w:lineRule="auto"/>
        <w:rPr>
          <w:rFonts w:ascii="Times New Roman" w:hAnsi="Times New Roman"/>
          <w:sz w:val="24"/>
          <w:szCs w:val="24"/>
        </w:rPr>
      </w:pPr>
      <w:r>
        <w:rPr>
          <w:rFonts w:hint="eastAsia" w:ascii="Times New Roman" w:hAnsi="Times New Roman" w:cs="宋体"/>
          <w:sz w:val="24"/>
          <w:szCs w:val="24"/>
        </w:rPr>
        <w:t>经营者集中简易案件公示表</w:t>
      </w:r>
    </w:p>
    <w:tbl>
      <w:tblPr>
        <w:tblStyle w:val="11"/>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2281"/>
        <w:gridCol w:w="5474"/>
      </w:tblGrid>
      <w:tr>
        <w:tc>
          <w:tcPr>
            <w:tcW w:w="1713" w:type="dxa"/>
            <w:shd w:val="clear" w:color="auto" w:fill="D9D9D9"/>
          </w:tcPr>
          <w:p>
            <w:pPr>
              <w:spacing w:line="500" w:lineRule="exact"/>
              <w:rPr>
                <w:rFonts w:ascii="Times New Roman" w:hAnsi="Times New Roman"/>
                <w:sz w:val="24"/>
                <w:szCs w:val="24"/>
              </w:rPr>
            </w:pPr>
            <w:r>
              <w:rPr>
                <w:rFonts w:ascii="Times New Roman" w:hAnsi="Times New Roman"/>
                <w:sz w:val="24"/>
                <w:szCs w:val="24"/>
              </w:rPr>
              <w:t>案件名称</w:t>
            </w:r>
          </w:p>
        </w:tc>
        <w:tc>
          <w:tcPr>
            <w:tcW w:w="7755" w:type="dxa"/>
            <w:gridSpan w:val="2"/>
          </w:tcPr>
          <w:p>
            <w:pPr>
              <w:spacing w:line="500" w:lineRule="exact"/>
              <w:rPr>
                <w:rFonts w:ascii="Times New Roman" w:hAnsi="Times New Roman"/>
                <w:sz w:val="24"/>
                <w:szCs w:val="24"/>
                <w:highlight w:val="yellow"/>
              </w:rPr>
            </w:pPr>
            <w:r>
              <w:rPr>
                <w:rFonts w:ascii="宋体" w:hAnsi="宋体" w:cstheme="minorHAnsi"/>
                <w:sz w:val="24"/>
              </w:rPr>
              <w:t>工业项目基金通过股权收购方式取得欧拉丹迪博简化股份有限公司等三家公司控制权案</w:t>
            </w:r>
          </w:p>
        </w:tc>
      </w:tr>
      <w:tr>
        <w:trPr>
          <w:trHeight w:val="993" w:hRule="atLeast"/>
        </w:trPr>
        <w:tc>
          <w:tcPr>
            <w:tcW w:w="1713" w:type="dxa"/>
            <w:shd w:val="clear" w:color="auto" w:fill="D9D9D9"/>
          </w:tcPr>
          <w:p>
            <w:pPr>
              <w:spacing w:line="500" w:lineRule="exact"/>
              <w:rPr>
                <w:rFonts w:ascii="Times New Roman" w:hAnsi="Times New Roman"/>
                <w:sz w:val="24"/>
                <w:szCs w:val="24"/>
              </w:rPr>
            </w:pPr>
            <w:r>
              <w:rPr>
                <w:rFonts w:ascii="Times New Roman" w:hAnsi="Times New Roman"/>
                <w:sz w:val="24"/>
                <w:szCs w:val="24"/>
              </w:rPr>
              <w:t>交易概况（限200字内）</w:t>
            </w:r>
          </w:p>
        </w:tc>
        <w:tc>
          <w:tcPr>
            <w:tcW w:w="7755" w:type="dxa"/>
            <w:gridSpan w:val="2"/>
          </w:tcPr>
          <w:p>
            <w:pPr>
              <w:spacing w:line="500" w:lineRule="exact"/>
              <w:rPr>
                <w:rFonts w:ascii="Times New Roman" w:hAnsi="Times New Roman"/>
                <w:sz w:val="24"/>
                <w:szCs w:val="24"/>
              </w:rPr>
            </w:pPr>
            <w:r>
              <w:rPr>
                <w:rFonts w:hint="eastAsia" w:ascii="Times New Roman" w:hAnsi="Times New Roman"/>
                <w:sz w:val="24"/>
                <w:szCs w:val="24"/>
              </w:rPr>
              <w:t>工业项目基金（</w:t>
            </w:r>
            <w:r>
              <w:rPr>
                <w:rFonts w:ascii="Times New Roman" w:hAnsi="Times New Roman"/>
                <w:sz w:val="24"/>
                <w:szCs w:val="24"/>
                <w:lang w:val="fr-FR"/>
              </w:rPr>
              <w:t>Fonds SPI</w:t>
            </w:r>
            <w:r>
              <w:rPr>
                <w:rFonts w:hint="eastAsia" w:ascii="Times New Roman" w:hAnsi="Times New Roman"/>
                <w:sz w:val="24"/>
                <w:szCs w:val="24"/>
              </w:rPr>
              <w:t>）通过收购APS2简化股份有限公司（</w:t>
            </w:r>
            <w:r>
              <w:rPr>
                <w:rFonts w:ascii="Times New Roman" w:hAnsi="Times New Roman"/>
                <w:sz w:val="24"/>
                <w:szCs w:val="24"/>
                <w:lang w:val="fr-FR"/>
              </w:rPr>
              <w:t>APS2</w:t>
            </w:r>
            <w:r>
              <w:rPr>
                <w:rFonts w:hint="eastAsia" w:ascii="Times New Roman" w:hAnsi="Times New Roman"/>
                <w:sz w:val="24"/>
                <w:szCs w:val="24"/>
              </w:rPr>
              <w:t>）的股份，与爱维尔工业简化股份有限公司（</w:t>
            </w:r>
            <w:r>
              <w:rPr>
                <w:rFonts w:ascii="Times New Roman" w:hAnsi="Times New Roman"/>
                <w:sz w:val="24"/>
                <w:szCs w:val="24"/>
                <w:lang w:val="fr-FR"/>
              </w:rPr>
              <w:t>Avril Industrie</w:t>
            </w:r>
            <w:r>
              <w:rPr>
                <w:rFonts w:hint="eastAsia" w:ascii="Times New Roman" w:hAnsi="Times New Roman"/>
                <w:sz w:val="24"/>
                <w:szCs w:val="24"/>
              </w:rPr>
              <w:t>）共同控制APS2，从而取得</w:t>
            </w:r>
            <w:r>
              <w:rPr>
                <w:rFonts w:hint="eastAsia" w:ascii="Times New Roman" w:hAnsi="Times New Roman"/>
                <w:sz w:val="24"/>
                <w:szCs w:val="24"/>
                <w:lang w:val="fr-FR"/>
              </w:rPr>
              <w:t>由APS2与</w:t>
            </w:r>
            <w:r>
              <w:rPr>
                <w:rFonts w:hint="eastAsia" w:ascii="Times New Roman" w:hAnsi="Times New Roman"/>
                <w:sz w:val="24"/>
                <w:szCs w:val="24"/>
              </w:rPr>
              <w:t>帝斯曼纳博蛋白质私人有限公司（</w:t>
            </w:r>
            <w:r>
              <w:rPr>
                <w:rFonts w:ascii="Times New Roman" w:hAnsi="Times New Roman"/>
                <w:sz w:val="24"/>
                <w:szCs w:val="24"/>
                <w:lang w:val="fr-FR"/>
              </w:rPr>
              <w:t>DSM GP</w:t>
            </w:r>
            <w:r>
              <w:rPr>
                <w:rFonts w:hint="eastAsia" w:ascii="Times New Roman" w:hAnsi="Times New Roman"/>
                <w:sz w:val="24"/>
                <w:szCs w:val="24"/>
              </w:rPr>
              <w:t>）</w:t>
            </w:r>
            <w:r>
              <w:rPr>
                <w:rFonts w:hint="eastAsia" w:ascii="Times New Roman" w:hAnsi="Times New Roman"/>
                <w:sz w:val="24"/>
                <w:szCs w:val="24"/>
                <w:lang w:val="fr-FR"/>
              </w:rPr>
              <w:t>直接或间接持有的</w:t>
            </w:r>
            <w:r>
              <w:rPr>
                <w:rFonts w:hint="eastAsia" w:ascii="Times New Roman" w:hAnsi="Times New Roman"/>
                <w:sz w:val="24"/>
                <w:szCs w:val="24"/>
              </w:rPr>
              <w:t>欧拉丹迪博简化股份有限公司、欧拉丹合伙企业和环加兹迪博简化股份有限公司的控制权。交易完成后，</w:t>
            </w:r>
            <w:r>
              <w:rPr>
                <w:rFonts w:ascii="Times New Roman" w:hAnsi="Times New Roman"/>
                <w:sz w:val="24"/>
                <w:szCs w:val="24"/>
                <w:lang w:val="fr-FR"/>
              </w:rPr>
              <w:t>Fonds SPI</w:t>
            </w:r>
            <w:r>
              <w:rPr>
                <w:rFonts w:hint="eastAsia" w:ascii="Times New Roman" w:hAnsi="Times New Roman"/>
                <w:sz w:val="24"/>
                <w:szCs w:val="24"/>
              </w:rPr>
              <w:t>、</w:t>
            </w:r>
            <w:r>
              <w:rPr>
                <w:rFonts w:ascii="Times New Roman" w:hAnsi="Times New Roman"/>
                <w:sz w:val="24"/>
                <w:szCs w:val="24"/>
                <w:lang w:val="fr-FR"/>
              </w:rPr>
              <w:t>Avril Industrie</w:t>
            </w:r>
            <w:r>
              <w:rPr>
                <w:rFonts w:hint="eastAsia" w:ascii="Times New Roman" w:hAnsi="Times New Roman"/>
                <w:sz w:val="24"/>
                <w:szCs w:val="24"/>
              </w:rPr>
              <w:t>和</w:t>
            </w:r>
            <w:r>
              <w:rPr>
                <w:rFonts w:ascii="Times New Roman" w:hAnsi="Times New Roman"/>
                <w:sz w:val="24"/>
                <w:szCs w:val="24"/>
                <w:lang w:val="fr-FR"/>
              </w:rPr>
              <w:t>DSM GP</w:t>
            </w:r>
            <w:r>
              <w:rPr>
                <w:rFonts w:hint="eastAsia" w:ascii="Times New Roman" w:hAnsi="Times New Roman"/>
                <w:sz w:val="24"/>
                <w:szCs w:val="24"/>
              </w:rPr>
              <w:t>将共同</w:t>
            </w:r>
            <w:r>
              <w:rPr>
                <w:rFonts w:hint="eastAsia" w:ascii="Times New Roman" w:hAnsi="Times New Roman"/>
                <w:sz w:val="24"/>
                <w:szCs w:val="24"/>
                <w:lang w:val="fr-FR"/>
              </w:rPr>
              <w:t>控制</w:t>
            </w:r>
            <w:r>
              <w:rPr>
                <w:rFonts w:hint="eastAsia" w:ascii="Times New Roman" w:hAnsi="Times New Roman"/>
                <w:sz w:val="24"/>
                <w:szCs w:val="24"/>
              </w:rPr>
              <w:t>前述三家企业，</w:t>
            </w:r>
            <w:r>
              <w:rPr>
                <w:rFonts w:ascii="Times New Roman" w:hAnsi="Times New Roman"/>
                <w:sz w:val="24"/>
                <w:szCs w:val="24"/>
              </w:rPr>
              <w:t>以</w:t>
            </w:r>
            <w:r>
              <w:rPr>
                <w:rFonts w:hint="eastAsia" w:ascii="Times New Roman" w:hAnsi="Times New Roman"/>
                <w:sz w:val="24"/>
                <w:szCs w:val="24"/>
              </w:rPr>
              <w:t>在法国和欧盟开展油籽粕以及植物蛋白的生产和销售。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trPr>
        <w:tc>
          <w:tcPr>
            <w:tcW w:w="1713" w:type="dxa"/>
            <w:vMerge w:val="restart"/>
            <w:shd w:val="clear" w:color="auto" w:fill="D9D9D9"/>
          </w:tcPr>
          <w:p>
            <w:pPr>
              <w:spacing w:line="500" w:lineRule="exact"/>
              <w:rPr>
                <w:rFonts w:ascii="Times New Roman" w:hAnsi="Times New Roman"/>
                <w:sz w:val="24"/>
                <w:szCs w:val="24"/>
              </w:rPr>
            </w:pPr>
            <w:r>
              <w:rPr>
                <w:rFonts w:ascii="Times New Roman" w:hAnsi="Times New Roman"/>
                <w:sz w:val="24"/>
                <w:szCs w:val="24"/>
              </w:rPr>
              <w:t>参与集中的经营者简介</w:t>
            </w:r>
          </w:p>
        </w:tc>
        <w:tc>
          <w:tcPr>
            <w:tcW w:w="2281" w:type="dxa"/>
          </w:tcPr>
          <w:p>
            <w:pPr>
              <w:spacing w:line="500" w:lineRule="exact"/>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、爱维尔工业简化股份有限公司（</w:t>
            </w:r>
            <w:r>
              <w:rPr>
                <w:rFonts w:ascii="Times New Roman" w:hAnsi="Times New Roman"/>
                <w:sz w:val="24"/>
                <w:szCs w:val="24"/>
                <w:lang w:val="fr-FR"/>
              </w:rPr>
              <w:t>Avril Industrie SAS</w:t>
            </w:r>
            <w:r>
              <w:rPr>
                <w:rFonts w:hint="eastAsia" w:ascii="Times New Roman" w:hAnsi="Times New Roman"/>
                <w:sz w:val="24"/>
                <w:szCs w:val="24"/>
              </w:rPr>
              <w:t>）</w:t>
            </w:r>
          </w:p>
        </w:tc>
        <w:tc>
          <w:tcPr>
            <w:tcW w:w="5474" w:type="dxa"/>
          </w:tcPr>
          <w:p>
            <w:pPr>
              <w:spacing w:line="500" w:lineRule="exact"/>
              <w:rPr>
                <w:rFonts w:ascii="Times New Roman" w:hAnsi="Times New Roman"/>
                <w:sz w:val="24"/>
                <w:szCs w:val="24"/>
              </w:rPr>
            </w:pPr>
            <w:r>
              <w:rPr>
                <w:rFonts w:ascii="Times New Roman" w:hAnsi="Times New Roman"/>
                <w:sz w:val="24"/>
                <w:szCs w:val="24"/>
                <w:lang w:val="fr-FR"/>
              </w:rPr>
              <w:t>Avril Industrie</w:t>
            </w:r>
            <w:r>
              <w:rPr>
                <w:rFonts w:hint="eastAsia" w:ascii="Times New Roman" w:hAnsi="Times New Roman"/>
                <w:sz w:val="24"/>
                <w:szCs w:val="24"/>
              </w:rPr>
              <w:t>是一家控股公司，隶属于爱维尔集团。爱维尔集团是法国领先的油籽产品集团，并且是欧洲主要的生物燃料生产商之一。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1713" w:type="dxa"/>
            <w:vMerge w:val="continue"/>
            <w:shd w:val="clear" w:color="auto" w:fill="D9D9D9"/>
          </w:tcPr>
          <w:p>
            <w:pPr>
              <w:spacing w:line="500" w:lineRule="exact"/>
              <w:rPr>
                <w:rFonts w:ascii="Times New Roman" w:hAnsi="Times New Roman"/>
                <w:sz w:val="24"/>
                <w:szCs w:val="24"/>
              </w:rPr>
            </w:pPr>
          </w:p>
        </w:tc>
        <w:tc>
          <w:tcPr>
            <w:tcW w:w="2281" w:type="dxa"/>
          </w:tcPr>
          <w:p>
            <w:pPr>
              <w:spacing w:line="500" w:lineRule="exact"/>
              <w:jc w:val="left"/>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工业项目</w:t>
            </w:r>
            <w:bookmarkStart w:id="0" w:name="_GoBack"/>
            <w:bookmarkEnd w:id="0"/>
            <w:r>
              <w:rPr>
                <w:rFonts w:hint="eastAsia" w:ascii="Times New Roman" w:hAnsi="Times New Roman"/>
                <w:sz w:val="24"/>
                <w:szCs w:val="24"/>
              </w:rPr>
              <w:t>基金（</w:t>
            </w:r>
            <w:r>
              <w:rPr>
                <w:rFonts w:ascii="Times New Roman" w:hAnsi="Times New Roman"/>
                <w:sz w:val="24"/>
                <w:szCs w:val="24"/>
                <w:lang w:val="fr-FR"/>
              </w:rPr>
              <w:t>Fonds SPI - Société de Projets Industriels</w:t>
            </w:r>
            <w:r>
              <w:rPr>
                <w:rFonts w:hint="eastAsia" w:ascii="Times New Roman" w:hAnsi="Times New Roman"/>
                <w:sz w:val="24"/>
                <w:szCs w:val="24"/>
              </w:rPr>
              <w:t>）</w:t>
            </w:r>
          </w:p>
        </w:tc>
        <w:tc>
          <w:tcPr>
            <w:tcW w:w="5474" w:type="dxa"/>
          </w:tcPr>
          <w:p>
            <w:pPr>
              <w:spacing w:line="500" w:lineRule="exact"/>
              <w:rPr>
                <w:rFonts w:ascii="Times New Roman" w:hAnsi="Times New Roman" w:cs="Arial"/>
                <w:sz w:val="24"/>
                <w:szCs w:val="24"/>
              </w:rPr>
            </w:pPr>
            <w:r>
              <w:rPr>
                <w:rFonts w:ascii="Times New Roman" w:hAnsi="Times New Roman"/>
                <w:sz w:val="24"/>
                <w:szCs w:val="24"/>
                <w:lang w:val="fr-FR"/>
              </w:rPr>
              <w:t>Fonds SPI</w:t>
            </w:r>
            <w:r>
              <w:rPr>
                <w:rFonts w:hint="eastAsia" w:ascii="Times New Roman" w:hAnsi="Times New Roman"/>
                <w:sz w:val="24"/>
                <w:szCs w:val="24"/>
              </w:rPr>
              <w:t>隶属于法国信托投资局，由法国国家控制，</w:t>
            </w:r>
            <w:r>
              <w:rPr>
                <w:rFonts w:hint="eastAsia" w:ascii="Times New Roman" w:hAnsi="Times New Roman" w:cs="Arial"/>
                <w:sz w:val="24"/>
                <w:szCs w:val="24"/>
              </w:rPr>
              <w:t>主要通过股权投资的方式投资促进法国经济发展的工业项目。</w:t>
            </w:r>
          </w:p>
        </w:tc>
      </w:tr>
      <w:tr>
        <w:trPr>
          <w:trHeight w:val="404" w:hRule="atLeast"/>
        </w:trPr>
        <w:tc>
          <w:tcPr>
            <w:tcW w:w="1713" w:type="dxa"/>
            <w:vMerge w:val="continue"/>
            <w:shd w:val="clear" w:color="auto" w:fill="D9D9D9"/>
          </w:tcPr>
          <w:p>
            <w:pPr>
              <w:spacing w:line="500" w:lineRule="exact"/>
              <w:rPr>
                <w:rFonts w:ascii="Times New Roman" w:hAnsi="Times New Roman"/>
                <w:sz w:val="24"/>
                <w:szCs w:val="24"/>
              </w:rPr>
            </w:pPr>
          </w:p>
        </w:tc>
        <w:tc>
          <w:tcPr>
            <w:tcW w:w="2281" w:type="dxa"/>
          </w:tcPr>
          <w:p>
            <w:pPr>
              <w:spacing w:line="500" w:lineRule="exact"/>
              <w:jc w:val="left"/>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w:t>
            </w:r>
            <w:r>
              <w:rPr>
                <w:rFonts w:hint="eastAsia" w:ascii="Times New Roman" w:hAnsi="Times New Roman"/>
                <w:sz w:val="24"/>
                <w:szCs w:val="24"/>
              </w:rPr>
              <w:t>帝斯曼纳博蛋白质私人有限公司（</w:t>
            </w:r>
            <w:r>
              <w:rPr>
                <w:rFonts w:ascii="Times New Roman" w:hAnsi="Times New Roman"/>
                <w:sz w:val="24"/>
                <w:szCs w:val="24"/>
                <w:lang w:val="fr-FR"/>
              </w:rPr>
              <w:t>DSM NuBus Proteins B.V.</w:t>
            </w:r>
            <w:r>
              <w:rPr>
                <w:rFonts w:hint="eastAsia" w:ascii="Times New Roman" w:hAnsi="Times New Roman"/>
                <w:sz w:val="24"/>
                <w:szCs w:val="24"/>
              </w:rPr>
              <w:t>）</w:t>
            </w:r>
          </w:p>
        </w:tc>
        <w:tc>
          <w:tcPr>
            <w:tcW w:w="5474" w:type="dxa"/>
          </w:tcPr>
          <w:p>
            <w:pPr>
              <w:widowControl/>
              <w:adjustRightInd w:val="0"/>
              <w:snapToGrid w:val="0"/>
              <w:spacing w:line="500" w:lineRule="exact"/>
              <w:jc w:val="left"/>
              <w:rPr>
                <w:rFonts w:ascii="Times New Roman" w:hAnsi="Times New Roman"/>
                <w:sz w:val="24"/>
              </w:rPr>
            </w:pPr>
            <w:r>
              <w:rPr>
                <w:rFonts w:ascii="Times New Roman" w:hAnsi="Times New Roman"/>
                <w:sz w:val="24"/>
                <w:szCs w:val="24"/>
                <w:lang w:val="fr-FR"/>
              </w:rPr>
              <w:t>DSM GP</w:t>
            </w:r>
            <w:r>
              <w:rPr>
                <w:rFonts w:hint="eastAsia" w:ascii="Times New Roman" w:hAnsi="Times New Roman"/>
                <w:sz w:val="24"/>
                <w:szCs w:val="24"/>
              </w:rPr>
              <w:t>隶属于</w:t>
            </w:r>
            <w:r>
              <w:rPr>
                <w:rFonts w:hint="eastAsia" w:ascii="Times New Roman" w:hAnsi="Times New Roman"/>
                <w:sz w:val="24"/>
              </w:rPr>
              <w:t>帝斯曼集团。</w:t>
            </w:r>
            <w:r>
              <w:rPr>
                <w:rFonts w:hint="eastAsia" w:ascii="Times New Roman" w:hAnsi="Times New Roman"/>
                <w:sz w:val="24"/>
                <w:szCs w:val="24"/>
              </w:rPr>
              <w:t>帝斯曼集团主要有三大业务板块：营养、材料和创新。帝斯曼集团特别开发了一种新颖的专有提取工艺，从冷榨菜籽饼中分离出植物基菜籽蛋白，具有出色的口感，高营养价值和功能特性。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713" w:type="dxa"/>
            <w:vMerge w:val="restart"/>
            <w:shd w:val="clear" w:color="auto" w:fill="D9D9D9"/>
          </w:tcPr>
          <w:p>
            <w:pPr>
              <w:spacing w:line="500" w:lineRule="exact"/>
              <w:rPr>
                <w:rFonts w:ascii="Times New Roman" w:hAnsi="Times New Roman"/>
                <w:sz w:val="24"/>
                <w:szCs w:val="24"/>
              </w:rPr>
            </w:pPr>
            <w:r>
              <w:rPr>
                <w:rFonts w:ascii="Times New Roman" w:hAnsi="Times New Roman"/>
                <w:sz w:val="24"/>
                <w:szCs w:val="24"/>
              </w:rPr>
              <w:t>简易案件理由（可以单选，也可以多选）</w:t>
            </w:r>
          </w:p>
        </w:tc>
        <w:tc>
          <w:tcPr>
            <w:tcW w:w="7755" w:type="dxa"/>
            <w:gridSpan w:val="2"/>
          </w:tcPr>
          <w:p>
            <w:pPr>
              <w:spacing w:line="500" w:lineRule="exact"/>
              <w:rPr>
                <w:rFonts w:ascii="Times New Roman" w:hAnsi="Times New Roman"/>
                <w:sz w:val="24"/>
                <w:szCs w:val="24"/>
              </w:rPr>
            </w:pPr>
            <w:r>
              <w:rPr>
                <w:rFonts w:ascii="Times New Roman" w:hAnsi="Times New Roman"/>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1713" w:type="dxa"/>
            <w:vMerge w:val="continue"/>
            <w:shd w:val="clear" w:color="auto" w:fill="D9D9D9"/>
          </w:tcPr>
          <w:p>
            <w:pPr>
              <w:spacing w:line="500" w:lineRule="exact"/>
              <w:rPr>
                <w:rFonts w:ascii="Times New Roman" w:hAnsi="Times New Roman"/>
                <w:sz w:val="24"/>
                <w:szCs w:val="24"/>
              </w:rPr>
            </w:pPr>
          </w:p>
        </w:tc>
        <w:tc>
          <w:tcPr>
            <w:tcW w:w="7755" w:type="dxa"/>
            <w:gridSpan w:val="2"/>
          </w:tcPr>
          <w:p>
            <w:pPr>
              <w:spacing w:line="500" w:lineRule="exact"/>
              <w:rPr>
                <w:rFonts w:ascii="Times New Roman" w:hAnsi="Times New Roman"/>
                <w:sz w:val="24"/>
                <w:szCs w:val="24"/>
              </w:rPr>
            </w:pPr>
            <w:r>
              <w:rPr>
                <w:rFonts w:ascii="Times New Roman" w:hAnsi="Times New Roman"/>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1713" w:type="dxa"/>
            <w:vMerge w:val="continue"/>
            <w:shd w:val="clear" w:color="auto" w:fill="D9D9D9"/>
          </w:tcPr>
          <w:p>
            <w:pPr>
              <w:spacing w:line="500" w:lineRule="exact"/>
              <w:rPr>
                <w:rFonts w:ascii="Times New Roman" w:hAnsi="Times New Roman"/>
                <w:sz w:val="24"/>
                <w:szCs w:val="24"/>
              </w:rPr>
            </w:pPr>
          </w:p>
        </w:tc>
        <w:tc>
          <w:tcPr>
            <w:tcW w:w="7755" w:type="dxa"/>
            <w:gridSpan w:val="2"/>
          </w:tcPr>
          <w:p>
            <w:pPr>
              <w:spacing w:line="500" w:lineRule="exact"/>
              <w:rPr>
                <w:rFonts w:ascii="Times New Roman" w:hAnsi="Times New Roman"/>
                <w:sz w:val="24"/>
                <w:szCs w:val="24"/>
              </w:rPr>
            </w:pPr>
            <w:r>
              <w:rPr>
                <w:rFonts w:ascii="Times New Roman" w:hAnsi="Times New Roman"/>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trPr>
        <w:tc>
          <w:tcPr>
            <w:tcW w:w="1713" w:type="dxa"/>
            <w:vMerge w:val="continue"/>
            <w:shd w:val="clear" w:color="auto" w:fill="D9D9D9"/>
          </w:tcPr>
          <w:p>
            <w:pPr>
              <w:spacing w:line="500" w:lineRule="exact"/>
              <w:rPr>
                <w:rFonts w:ascii="Times New Roman" w:hAnsi="Times New Roman"/>
                <w:sz w:val="24"/>
                <w:szCs w:val="24"/>
              </w:rPr>
            </w:pPr>
          </w:p>
        </w:tc>
        <w:tc>
          <w:tcPr>
            <w:tcW w:w="7755" w:type="dxa"/>
            <w:gridSpan w:val="2"/>
          </w:tcPr>
          <w:p>
            <w:pPr>
              <w:spacing w:line="500" w:lineRule="exact"/>
              <w:rPr>
                <w:rFonts w:ascii="Times New Roman" w:hAnsi="Times New Roman"/>
                <w:sz w:val="24"/>
                <w:szCs w:val="24"/>
              </w:rPr>
            </w:pPr>
            <w:r>
              <w:rPr>
                <w:rFonts w:ascii="Times New Roman" w:hAnsi="Times New Roman"/>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1713" w:type="dxa"/>
            <w:vMerge w:val="continue"/>
            <w:shd w:val="clear" w:color="auto" w:fill="D9D9D9"/>
          </w:tcPr>
          <w:p>
            <w:pPr>
              <w:spacing w:line="500" w:lineRule="exact"/>
              <w:rPr>
                <w:rFonts w:ascii="Times New Roman" w:hAnsi="Times New Roman"/>
                <w:sz w:val="24"/>
                <w:szCs w:val="24"/>
              </w:rPr>
            </w:pPr>
          </w:p>
        </w:tc>
        <w:tc>
          <w:tcPr>
            <w:tcW w:w="7755" w:type="dxa"/>
            <w:gridSpan w:val="2"/>
          </w:tcPr>
          <w:p>
            <w:pPr>
              <w:spacing w:line="500" w:lineRule="exact"/>
              <w:rPr>
                <w:rFonts w:ascii="Times New Roman" w:hAnsi="Times New Roman"/>
                <w:sz w:val="24"/>
                <w:szCs w:val="24"/>
              </w:rPr>
            </w:pPr>
            <w:r>
              <w:rPr>
                <w:rFonts w:ascii="Times New Roman" w:hAnsi="Times New Roman"/>
                <w:b/>
                <w:sz w:val="24"/>
                <w:szCs w:val="24"/>
              </w:rPr>
              <w:sym w:font="Wingdings 2" w:char="F052"/>
            </w:r>
            <w:r>
              <w:rPr>
                <w:rFonts w:ascii="Times New Roman" w:hAnsi="Times New Roman"/>
                <w:sz w:val="24"/>
                <w:szCs w:val="24"/>
              </w:rPr>
              <w:t>5、参与集中的经营者收购境外企业股权或资产的，该境外企业不在中国境内从事经济活动。</w:t>
            </w:r>
          </w:p>
        </w:tc>
      </w:tr>
      <w:tr>
        <w:trPr>
          <w:trHeight w:val="345" w:hRule="atLeast"/>
        </w:trPr>
        <w:tc>
          <w:tcPr>
            <w:tcW w:w="1713" w:type="dxa"/>
            <w:vMerge w:val="continue"/>
            <w:shd w:val="clear" w:color="auto" w:fill="D9D9D9"/>
          </w:tcPr>
          <w:p>
            <w:pPr>
              <w:spacing w:line="500" w:lineRule="exact"/>
              <w:rPr>
                <w:rFonts w:ascii="Times New Roman" w:hAnsi="Times New Roman"/>
                <w:sz w:val="24"/>
                <w:szCs w:val="24"/>
              </w:rPr>
            </w:pPr>
          </w:p>
        </w:tc>
        <w:tc>
          <w:tcPr>
            <w:tcW w:w="7755" w:type="dxa"/>
            <w:gridSpan w:val="2"/>
          </w:tcPr>
          <w:p>
            <w:pPr>
              <w:spacing w:line="500" w:lineRule="exact"/>
              <w:rPr>
                <w:rFonts w:ascii="Times New Roman" w:hAnsi="Times New Roman"/>
                <w:sz w:val="24"/>
                <w:szCs w:val="24"/>
              </w:rPr>
            </w:pPr>
            <w:r>
              <w:rPr>
                <w:rFonts w:ascii="Times New Roman" w:hAnsi="Times New Roman"/>
                <w:sz w:val="24"/>
                <w:szCs w:val="24"/>
              </w:rPr>
              <w:t>□6、由两个以上的经营者共同控制的合营企业，通过集中被其中一个或一个以上经营者控制。</w:t>
            </w:r>
          </w:p>
        </w:tc>
      </w:tr>
      <w:tr>
        <w:tc>
          <w:tcPr>
            <w:tcW w:w="1713" w:type="dxa"/>
            <w:shd w:val="clear" w:color="auto" w:fill="D9D9D9"/>
          </w:tcPr>
          <w:p>
            <w:pPr>
              <w:spacing w:line="500" w:lineRule="exact"/>
              <w:rPr>
                <w:rFonts w:ascii="Times New Roman" w:hAnsi="Times New Roman"/>
                <w:sz w:val="24"/>
                <w:szCs w:val="24"/>
              </w:rPr>
            </w:pPr>
            <w:r>
              <w:rPr>
                <w:rFonts w:ascii="Times New Roman" w:hAnsi="Times New Roman"/>
                <w:sz w:val="24"/>
                <w:szCs w:val="24"/>
              </w:rPr>
              <w:t>备注</w:t>
            </w:r>
          </w:p>
        </w:tc>
        <w:tc>
          <w:tcPr>
            <w:tcW w:w="7755" w:type="dxa"/>
            <w:gridSpan w:val="2"/>
          </w:tcPr>
          <w:p>
            <w:pPr>
              <w:spacing w:line="500" w:lineRule="exact"/>
              <w:rPr>
                <w:rFonts w:ascii="Times New Roman" w:hAnsi="Times New Roman"/>
                <w:sz w:val="24"/>
                <w:szCs w:val="24"/>
              </w:rPr>
            </w:pPr>
          </w:p>
        </w:tc>
      </w:tr>
    </w:tbl>
    <w:p>
      <w:pPr>
        <w:rPr>
          <w:rFonts w:ascii="Times New Roman" w:hAnsi="Times New Roman"/>
          <w:sz w:val="24"/>
          <w:szCs w:val="24"/>
        </w:rPr>
      </w:pPr>
    </w:p>
    <w:p>
      <w:pPr>
        <w:rPr>
          <w:rFonts w:ascii="Times New Roman" w:hAnsi="Times New Roman"/>
          <w:sz w:val="24"/>
          <w:szCs w:val="24"/>
        </w:rPr>
      </w:pPr>
    </w:p>
    <w:sectPr>
      <w:headerReference r:id="rId5" w:type="first"/>
      <w:footerReference r:id="rId8" w:type="first"/>
      <w:headerReference r:id="rId3" w:type="default"/>
      <w:footerReference r:id="rId6" w:type="default"/>
      <w:headerReference r:id="rId4" w:type="even"/>
      <w:footerReference r:id="rId7" w:type="even"/>
      <w:pgSz w:w="12240" w:h="15840"/>
      <w:pgMar w:top="1440" w:right="1440" w:bottom="1440" w:left="1440" w:header="720" w:footer="72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642">
      <wne:macro wne:macroName="NORMAL.NEWMACROS.DOINSERTBRACKETS"/>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ahoma">
    <w:panose1 w:val="020B0604030504040204"/>
    <w:charset w:val="00"/>
    <w:family w:val="swiss"/>
    <w:pitch w:val="default"/>
    <w:sig w:usb0="E1002AFF" w:usb1="C000605B" w:usb2="00000029" w:usb3="00000000" w:csb0="200101FF" w:csb1="20280000"/>
  </w:font>
  <w:font w:name="Arial">
    <w:panose1 w:val="020B0604020202090204"/>
    <w:charset w:val="00"/>
    <w:family w:val="swiss"/>
    <w:pitch w:val="default"/>
    <w:sig w:usb0="E0000AFF" w:usb1="00007843" w:usb2="00000001" w:usb3="00000000" w:csb0="400001BF" w:csb1="DFF70000"/>
  </w:font>
  <w:font w:name="Wingdings 2">
    <w:panose1 w:val="050201020105070707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color w:val="FFFFFF"/>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trackRevisions w:val="1"/>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579"/>
    <w:rsid w:val="0009790E"/>
    <w:rsid w:val="000A105E"/>
    <w:rsid w:val="000A4C88"/>
    <w:rsid w:val="000B061E"/>
    <w:rsid w:val="000C46D9"/>
    <w:rsid w:val="000D0C35"/>
    <w:rsid w:val="001172DE"/>
    <w:rsid w:val="001561A1"/>
    <w:rsid w:val="001D03C7"/>
    <w:rsid w:val="00301FCF"/>
    <w:rsid w:val="003B70F5"/>
    <w:rsid w:val="003E4674"/>
    <w:rsid w:val="003F19A4"/>
    <w:rsid w:val="00437F62"/>
    <w:rsid w:val="00475D4A"/>
    <w:rsid w:val="004E1625"/>
    <w:rsid w:val="00503B67"/>
    <w:rsid w:val="00524956"/>
    <w:rsid w:val="00570580"/>
    <w:rsid w:val="006141DB"/>
    <w:rsid w:val="00630FBE"/>
    <w:rsid w:val="00671BC2"/>
    <w:rsid w:val="006736E0"/>
    <w:rsid w:val="00697465"/>
    <w:rsid w:val="006B788E"/>
    <w:rsid w:val="006D7579"/>
    <w:rsid w:val="006F7DC9"/>
    <w:rsid w:val="0072561C"/>
    <w:rsid w:val="00770965"/>
    <w:rsid w:val="00800400"/>
    <w:rsid w:val="008105FE"/>
    <w:rsid w:val="008141B2"/>
    <w:rsid w:val="00993C90"/>
    <w:rsid w:val="009A102E"/>
    <w:rsid w:val="009A7BB1"/>
    <w:rsid w:val="009F3C1A"/>
    <w:rsid w:val="00A70C36"/>
    <w:rsid w:val="00AB1ED6"/>
    <w:rsid w:val="00AF5D7D"/>
    <w:rsid w:val="00B0047B"/>
    <w:rsid w:val="00C378D5"/>
    <w:rsid w:val="00C45491"/>
    <w:rsid w:val="00C658FB"/>
    <w:rsid w:val="00C72D71"/>
    <w:rsid w:val="00D3183C"/>
    <w:rsid w:val="00D534AA"/>
    <w:rsid w:val="00DB17FC"/>
    <w:rsid w:val="00E25EA8"/>
    <w:rsid w:val="00EB631E"/>
    <w:rsid w:val="8CAB4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4" w:semiHidden="0" w:name="Body Text"/>
    <w:lsdException w:uiPriority="99" w:name="Body Text Indent"/>
    <w:lsdException w:uiPriority="99" w:name="List Continue"/>
    <w:lsdException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Times New Roman"/>
      <w:kern w:val="2"/>
      <w:sz w:val="21"/>
      <w:szCs w:val="22"/>
      <w:lang w:val="en-US" w:eastAsia="zh-CN" w:bidi="ar-SA"/>
    </w:rPr>
  </w:style>
  <w:style w:type="character" w:default="1" w:styleId="9">
    <w:name w:val="Default Paragraph Font"/>
    <w:unhideWhenUsed/>
    <w:qFormat/>
    <w:uiPriority w:val="1"/>
  </w:style>
  <w:style w:type="table" w:default="1" w:styleId="11">
    <w:name w:val="Normal Table"/>
    <w:unhideWhenUsed/>
    <w:qFormat/>
    <w:uiPriority w:val="99"/>
    <w:tblPr>
      <w:tblCellMar>
        <w:top w:w="0" w:type="dxa"/>
        <w:left w:w="108" w:type="dxa"/>
        <w:bottom w:w="0" w:type="dxa"/>
        <w:right w:w="108" w:type="dxa"/>
      </w:tblCellMar>
    </w:tblPr>
  </w:style>
  <w:style w:type="paragraph" w:styleId="2">
    <w:name w:val="Body Text"/>
    <w:basedOn w:val="1"/>
    <w:link w:val="16"/>
    <w:qFormat/>
    <w:uiPriority w:val="4"/>
    <w:pPr>
      <w:widowControl/>
      <w:suppressAutoHyphens/>
      <w:spacing w:after="240"/>
      <w:jc w:val="center"/>
    </w:pPr>
    <w:rPr>
      <w:rFonts w:ascii="Times New Roman" w:hAnsi="Times New Roman"/>
      <w:kern w:val="0"/>
      <w:sz w:val="22"/>
      <w:szCs w:val="24"/>
      <w:lang w:val="fr-FR" w:eastAsia="fr-FR"/>
    </w:rPr>
  </w:style>
  <w:style w:type="paragraph" w:styleId="3">
    <w:name w:val="Balloon Text"/>
    <w:basedOn w:val="1"/>
    <w:link w:val="19"/>
    <w:unhideWhenUsed/>
    <w:qFormat/>
    <w:uiPriority w:val="99"/>
    <w:rPr>
      <w:rFonts w:ascii="Tahoma" w:hAnsi="Tahoma" w:cs="Tahoma"/>
      <w:sz w:val="16"/>
      <w:szCs w:val="16"/>
    </w:rPr>
  </w:style>
  <w:style w:type="paragraph" w:styleId="4">
    <w:name w:val="footer"/>
    <w:basedOn w:val="1"/>
    <w:link w:val="18"/>
    <w:unhideWhenUsed/>
    <w:qFormat/>
    <w:uiPriority w:val="99"/>
    <w:pPr>
      <w:tabs>
        <w:tab w:val="center" w:pos="4680"/>
        <w:tab w:val="right" w:pos="9360"/>
      </w:tabs>
    </w:pPr>
  </w:style>
  <w:style w:type="paragraph" w:styleId="5">
    <w:name w:val="header"/>
    <w:basedOn w:val="1"/>
    <w:link w:val="17"/>
    <w:unhideWhenUsed/>
    <w:qFormat/>
    <w:uiPriority w:val="99"/>
    <w:pPr>
      <w:tabs>
        <w:tab w:val="center" w:pos="4680"/>
        <w:tab w:val="right" w:pos="9360"/>
      </w:tabs>
    </w:pPr>
  </w:style>
  <w:style w:type="paragraph" w:styleId="6">
    <w:name w:val="List"/>
    <w:basedOn w:val="1"/>
    <w:unhideWhenUsed/>
    <w:qFormat/>
    <w:uiPriority w:val="99"/>
    <w:pPr>
      <w:widowControl/>
      <w:spacing w:after="200" w:line="276" w:lineRule="auto"/>
      <w:ind w:left="360" w:hanging="360"/>
      <w:contextualSpacing/>
      <w:jc w:val="left"/>
    </w:pPr>
    <w:rPr>
      <w:rFonts w:asciiTheme="minorHAnsi" w:hAnsiTheme="minorHAnsi" w:eastAsiaTheme="minorEastAsia" w:cstheme="minorBidi"/>
      <w:kern w:val="0"/>
      <w:sz w:val="22"/>
    </w:rPr>
  </w:style>
  <w:style w:type="paragraph" w:styleId="7">
    <w:name w:val="List Continue 3"/>
    <w:basedOn w:val="1"/>
    <w:unhideWhenUsed/>
    <w:qFormat/>
    <w:uiPriority w:val="99"/>
    <w:pPr>
      <w:widowControl/>
      <w:spacing w:after="120" w:line="276" w:lineRule="auto"/>
      <w:ind w:left="1080"/>
      <w:contextualSpacing/>
      <w:jc w:val="left"/>
    </w:pPr>
    <w:rPr>
      <w:rFonts w:asciiTheme="minorHAnsi" w:hAnsiTheme="minorHAnsi" w:eastAsiaTheme="minorEastAsia" w:cstheme="minorBidi"/>
      <w:kern w:val="0"/>
      <w:sz w:val="22"/>
    </w:rPr>
  </w:style>
  <w:style w:type="paragraph" w:styleId="8">
    <w:name w:val="Title"/>
    <w:basedOn w:val="1"/>
    <w:next w:val="1"/>
    <w:link w:val="14"/>
    <w:qFormat/>
    <w:uiPriority w:val="10"/>
    <w:pPr>
      <w:spacing w:before="240" w:after="60"/>
      <w:jc w:val="center"/>
      <w:outlineLvl w:val="0"/>
    </w:pPr>
    <w:rPr>
      <w:rFonts w:ascii="Cambria" w:hAnsi="Cambria"/>
      <w:b/>
      <w:bCs/>
      <w:kern w:val="28"/>
      <w:sz w:val="32"/>
      <w:szCs w:val="32"/>
    </w:rPr>
  </w:style>
  <w:style w:type="character" w:styleId="10">
    <w:name w:val="Hyperlink"/>
    <w:unhideWhenUsed/>
    <w:qFormat/>
    <w:uiPriority w:val="99"/>
    <w:rPr>
      <w:color w:val="0000FF"/>
      <w:u w:val="single"/>
    </w:rPr>
  </w:style>
  <w:style w:type="paragraph" w:customStyle="1" w:styleId="12">
    <w:name w:val="Quote"/>
    <w:basedOn w:val="1"/>
    <w:next w:val="1"/>
    <w:link w:val="13"/>
    <w:qFormat/>
    <w:uiPriority w:val="29"/>
    <w:pPr>
      <w:widowControl/>
      <w:spacing w:after="200" w:line="276" w:lineRule="auto"/>
      <w:jc w:val="left"/>
    </w:pPr>
    <w:rPr>
      <w:rFonts w:asciiTheme="minorHAnsi" w:hAnsiTheme="minorHAnsi" w:eastAsiaTheme="minorEastAsia" w:cstheme="minorBidi"/>
      <w:i/>
      <w:iCs/>
      <w:color w:val="000000" w:themeColor="text1"/>
      <w:kern w:val="0"/>
      <w:sz w:val="22"/>
      <w14:textFill>
        <w14:solidFill>
          <w14:schemeClr w14:val="tx1"/>
        </w14:solidFill>
      </w14:textFill>
    </w:rPr>
  </w:style>
  <w:style w:type="character" w:customStyle="1" w:styleId="13">
    <w:name w:val="Quote Char"/>
    <w:basedOn w:val="9"/>
    <w:link w:val="12"/>
    <w:qFormat/>
    <w:uiPriority w:val="29"/>
    <w:rPr>
      <w:i/>
      <w:iCs/>
      <w:color w:val="000000" w:themeColor="text1"/>
      <w14:textFill>
        <w14:solidFill>
          <w14:schemeClr w14:val="tx1"/>
        </w14:solidFill>
      </w14:textFill>
    </w:rPr>
  </w:style>
  <w:style w:type="character" w:customStyle="1" w:styleId="14">
    <w:name w:val="Title Char"/>
    <w:basedOn w:val="9"/>
    <w:link w:val="8"/>
    <w:qFormat/>
    <w:uiPriority w:val="10"/>
    <w:rPr>
      <w:rFonts w:ascii="Cambria" w:hAnsi="Cambria" w:eastAsia="宋体" w:cs="Times New Roman"/>
      <w:b/>
      <w:bCs/>
      <w:kern w:val="28"/>
      <w:sz w:val="32"/>
      <w:szCs w:val="32"/>
    </w:rPr>
  </w:style>
  <w:style w:type="paragraph" w:customStyle="1" w:styleId="15">
    <w:name w:val="Block Text Blue"/>
    <w:basedOn w:val="1"/>
    <w:qFormat/>
    <w:uiPriority w:val="0"/>
    <w:pPr>
      <w:widowControl/>
      <w:spacing w:after="240"/>
    </w:pPr>
    <w:rPr>
      <w:rFonts w:ascii="Times New Roman" w:hAnsi="Times New Roman"/>
      <w:color w:val="0000FF"/>
      <w:kern w:val="0"/>
      <w:sz w:val="24"/>
      <w:szCs w:val="24"/>
    </w:rPr>
  </w:style>
  <w:style w:type="character" w:customStyle="1" w:styleId="16">
    <w:name w:val="Body Text Char"/>
    <w:basedOn w:val="9"/>
    <w:link w:val="2"/>
    <w:qFormat/>
    <w:uiPriority w:val="4"/>
    <w:rPr>
      <w:rFonts w:ascii="Times New Roman" w:hAnsi="Times New Roman" w:eastAsia="宋体" w:cs="Times New Roman"/>
      <w:szCs w:val="24"/>
      <w:lang w:val="fr-FR" w:eastAsia="fr-FR"/>
    </w:rPr>
  </w:style>
  <w:style w:type="character" w:customStyle="1" w:styleId="17">
    <w:name w:val="Header Char"/>
    <w:basedOn w:val="9"/>
    <w:link w:val="5"/>
    <w:qFormat/>
    <w:uiPriority w:val="99"/>
    <w:rPr>
      <w:rFonts w:ascii="Calibri" w:hAnsi="Calibri" w:eastAsia="宋体" w:cs="Times New Roman"/>
      <w:kern w:val="2"/>
      <w:sz w:val="21"/>
    </w:rPr>
  </w:style>
  <w:style w:type="character" w:customStyle="1" w:styleId="18">
    <w:name w:val="Footer Char"/>
    <w:basedOn w:val="9"/>
    <w:link w:val="4"/>
    <w:qFormat/>
    <w:uiPriority w:val="99"/>
    <w:rPr>
      <w:rFonts w:ascii="Calibri" w:hAnsi="Calibri" w:eastAsia="宋体" w:cs="Times New Roman"/>
      <w:kern w:val="2"/>
      <w:sz w:val="21"/>
    </w:rPr>
  </w:style>
  <w:style w:type="character" w:customStyle="1" w:styleId="19">
    <w:name w:val="Balloon Text Char"/>
    <w:basedOn w:val="9"/>
    <w:link w:val="3"/>
    <w:semiHidden/>
    <w:qFormat/>
    <w:uiPriority w:val="99"/>
    <w:rPr>
      <w:rFonts w:ascii="Tahoma" w:hAnsi="Tahoma" w:eastAsia="宋体" w:cs="Tahoma"/>
      <w:kern w:val="2"/>
      <w:sz w:val="16"/>
      <w:szCs w:val="1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778</Words>
  <Characters>926</Characters>
  <Lines>63</Lines>
  <Paragraphs>20</Paragraphs>
  <ScaleCrop>false</ScaleCrop>
  <LinksUpToDate>false</LinksUpToDate>
  <CharactersWithSpaces>946</CharactersWithSpaces>
  <Application>WPS Office_2.2.0.3563_F1E327BC-269C-435d-A152-05C5408002CA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2020-12-04T14:13:33Z</dcterms:created>
  <dc:creator>Data</dc:creator>
  <cp:lastModifiedBy>c</cp:lastModifiedBy>
  <dcterms:modified xsi:type="dcterms:W3CDTF">2020-12-04T14:16:04Z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6b5208bd-8f50-41f9-8c45-a1ac9dfc4432</vt:lpwstr>
  </property>
  <property fmtid="{D5CDD505-2E9C-101B-9397-08002B2CF9AE}" pid="3" name="KSOProductBuildVer">
    <vt:lpwstr>2052-2.2.0.3563</vt:lpwstr>
  </property>
</Properties>
</file>