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80" w:lineRule="exact"/>
        <w:rPr>
          <w:rFonts w:ascii="Times New Roman" w:hAnsi="Times New Roman" w:eastAsia="仿宋_GB2312"/>
          <w:sz w:val="28"/>
          <w:szCs w:val="28"/>
        </w:rPr>
      </w:pPr>
    </w:p>
    <w:p>
      <w:pPr>
        <w:spacing w:line="440" w:lineRule="exact"/>
        <w:jc w:val="center"/>
        <w:rPr>
          <w:rFonts w:ascii="Times New Roman" w:hAnsi="Times New Roman" w:eastAsia="黑体"/>
          <w:sz w:val="30"/>
          <w:szCs w:val="30"/>
        </w:rPr>
      </w:pPr>
      <w:r>
        <w:rPr>
          <w:rFonts w:ascii="Times New Roman" w:hAnsi="Times New Roman" w:eastAsia="黑体"/>
          <w:sz w:val="30"/>
          <w:szCs w:val="30"/>
        </w:rPr>
        <w:t>经营者集中简易案件公示表</w:t>
      </w:r>
    </w:p>
    <w:p>
      <w:pPr>
        <w:spacing w:line="440" w:lineRule="exact"/>
        <w:ind w:firstLine="845" w:firstLineChars="302"/>
        <w:rPr>
          <w:rFonts w:ascii="Times New Roman" w:hAnsi="Times New Roman" w:eastAsia="仿宋_GB2312"/>
          <w:sz w:val="28"/>
          <w:szCs w:val="28"/>
        </w:rPr>
      </w:pP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4"/>
        <w:gridCol w:w="1701"/>
        <w:gridCol w:w="48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4" w:type="dxa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案件名称</w:t>
            </w: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海丽凯资本管理</w:t>
            </w:r>
            <w:r>
              <w:rPr>
                <w:rFonts w:hint="eastAsia" w:ascii="Times New Roman" w:hAnsi="Times New Roman" w:eastAsia="仿宋"/>
                <w:sz w:val="22"/>
              </w:rPr>
              <w:t>私人有限</w:t>
            </w:r>
            <w:r>
              <w:rPr>
                <w:rFonts w:ascii="Times New Roman" w:hAnsi="Times New Roman" w:eastAsia="仿宋"/>
                <w:sz w:val="22"/>
              </w:rPr>
              <w:t>公司收购太平船务有限公司及其他两家公司股权案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714" w:type="dxa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交易概况（限200字内）</w:t>
            </w: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2021</w:t>
            </w:r>
            <w:r>
              <w:rPr>
                <w:rFonts w:hint="eastAsia" w:ascii="Times New Roman" w:hAnsi="Times New Roman" w:eastAsia="仿宋"/>
                <w:sz w:val="22"/>
              </w:rPr>
              <w:t>年1月2</w:t>
            </w:r>
            <w:r>
              <w:rPr>
                <w:rFonts w:ascii="Times New Roman" w:hAnsi="Times New Roman" w:eastAsia="仿宋"/>
                <w:sz w:val="22"/>
              </w:rPr>
              <w:t>6</w:t>
            </w:r>
            <w:r>
              <w:rPr>
                <w:rFonts w:hint="eastAsia" w:ascii="Times New Roman" w:hAnsi="Times New Roman" w:eastAsia="仿宋"/>
                <w:sz w:val="22"/>
              </w:rPr>
              <w:t>日</w:t>
            </w:r>
            <w:r>
              <w:rPr>
                <w:rFonts w:ascii="Times New Roman" w:hAnsi="Times New Roman" w:eastAsia="仿宋"/>
                <w:sz w:val="22"/>
              </w:rPr>
              <w:t>，海丽凯资本管理</w:t>
            </w:r>
            <w:r>
              <w:rPr>
                <w:rFonts w:hint="eastAsia" w:ascii="Times New Roman" w:hAnsi="Times New Roman" w:eastAsia="仿宋"/>
                <w:sz w:val="22"/>
              </w:rPr>
              <w:t>私人有限</w:t>
            </w:r>
            <w:r>
              <w:rPr>
                <w:rFonts w:ascii="Times New Roman" w:hAnsi="Times New Roman" w:eastAsia="仿宋"/>
                <w:sz w:val="22"/>
              </w:rPr>
              <w:t>公司</w:t>
            </w:r>
            <w:r>
              <w:rPr>
                <w:rFonts w:hint="eastAsia" w:ascii="Times New Roman" w:hAnsi="Times New Roman" w:eastAsia="仿宋"/>
                <w:sz w:val="22"/>
              </w:rPr>
              <w:t>（“</w:t>
            </w:r>
            <w:r>
              <w:rPr>
                <w:rFonts w:hint="eastAsia" w:ascii="Times New Roman" w:hAnsi="Times New Roman" w:eastAsia="仿宋"/>
                <w:b/>
                <w:bCs/>
                <w:sz w:val="22"/>
              </w:rPr>
              <w:t>海丽凯</w:t>
            </w:r>
            <w:r>
              <w:rPr>
                <w:rFonts w:hint="eastAsia" w:ascii="Times New Roman" w:hAnsi="Times New Roman" w:eastAsia="仿宋"/>
                <w:sz w:val="22"/>
              </w:rPr>
              <w:t>”）管理的常春藤2投资可变资本公司（Ivy 2 Investments VCC，</w:t>
            </w:r>
            <w:r>
              <w:rPr>
                <w:rFonts w:ascii="Times New Roman" w:hAnsi="Times New Roman" w:eastAsia="仿宋"/>
                <w:sz w:val="22"/>
              </w:rPr>
              <w:t>“</w:t>
            </w:r>
            <w:r>
              <w:rPr>
                <w:rFonts w:ascii="Times New Roman" w:hAnsi="Times New Roman" w:eastAsia="仿宋"/>
                <w:b/>
                <w:bCs/>
                <w:sz w:val="22"/>
              </w:rPr>
              <w:t>投资者</w:t>
            </w:r>
            <w:r>
              <w:rPr>
                <w:rFonts w:ascii="Times New Roman" w:hAnsi="Times New Roman" w:eastAsia="仿宋"/>
                <w:sz w:val="22"/>
              </w:rPr>
              <w:t>”）和</w:t>
            </w:r>
            <w:r>
              <w:rPr>
                <w:rFonts w:hint="eastAsia" w:ascii="Times New Roman" w:hAnsi="Times New Roman" w:eastAsia="仿宋"/>
                <w:sz w:val="22"/>
              </w:rPr>
              <w:t>太平船务控股有限公司（“</w:t>
            </w:r>
            <w:r>
              <w:rPr>
                <w:rFonts w:hint="eastAsia" w:ascii="Times New Roman" w:hAnsi="Times New Roman" w:eastAsia="仿宋"/>
                <w:b/>
                <w:bCs/>
                <w:sz w:val="22"/>
              </w:rPr>
              <w:t>PIL控股</w:t>
            </w:r>
            <w:r>
              <w:rPr>
                <w:rFonts w:hint="eastAsia" w:ascii="Times New Roman" w:hAnsi="Times New Roman" w:eastAsia="仿宋"/>
                <w:sz w:val="22"/>
              </w:rPr>
              <w:t>”）</w:t>
            </w:r>
            <w:r>
              <w:rPr>
                <w:rFonts w:ascii="Times New Roman" w:hAnsi="Times New Roman" w:eastAsia="仿宋"/>
                <w:sz w:val="22"/>
              </w:rPr>
              <w:t>签订了《</w:t>
            </w:r>
            <w:r>
              <w:rPr>
                <w:rFonts w:hint="eastAsia" w:ascii="Times New Roman" w:hAnsi="Times New Roman" w:eastAsia="仿宋"/>
                <w:sz w:val="22"/>
              </w:rPr>
              <w:t>股份</w:t>
            </w:r>
            <w:r>
              <w:rPr>
                <w:rFonts w:ascii="Times New Roman" w:hAnsi="Times New Roman" w:eastAsia="仿宋"/>
                <w:sz w:val="22"/>
              </w:rPr>
              <w:t>认购协议》，</w:t>
            </w:r>
            <w:r>
              <w:rPr>
                <w:rFonts w:hint="eastAsia" w:ascii="Times New Roman" w:hAnsi="Times New Roman" w:eastAsia="仿宋"/>
                <w:sz w:val="22"/>
              </w:rPr>
              <w:t>根据《股份认购协议》，</w:t>
            </w:r>
            <w:r>
              <w:rPr>
                <w:rFonts w:ascii="Times New Roman" w:hAnsi="Times New Roman" w:eastAsia="仿宋"/>
                <w:sz w:val="22"/>
              </w:rPr>
              <w:t>投资者同意通过认购可转换优先股的方式对目标公司进行投资，这将使投资者获得目标公司超过50%的投票权（“</w:t>
            </w:r>
            <w:r>
              <w:rPr>
                <w:rFonts w:ascii="Times New Roman" w:hAnsi="Times New Roman" w:eastAsia="仿宋"/>
                <w:b/>
                <w:sz w:val="22"/>
              </w:rPr>
              <w:t>拟议收购</w:t>
            </w:r>
            <w:r>
              <w:rPr>
                <w:rFonts w:ascii="Times New Roman" w:hAnsi="Times New Roman" w:eastAsia="仿宋"/>
                <w:sz w:val="22"/>
              </w:rPr>
              <w:t>”）。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目标公司预计将设立在新加坡</w:t>
            </w:r>
            <w:r>
              <w:rPr>
                <w:rFonts w:hint="eastAsia" w:ascii="Times New Roman" w:hAnsi="Times New Roman" w:eastAsia="仿宋"/>
                <w:sz w:val="22"/>
              </w:rPr>
              <w:t>，</w:t>
            </w:r>
            <w:r>
              <w:rPr>
                <w:rFonts w:ascii="Times New Roman" w:hAnsi="Times New Roman" w:eastAsia="仿宋"/>
                <w:sz w:val="22"/>
              </w:rPr>
              <w:t>将作为PIL控股的全资子公司设立。PIL控股目前是</w:t>
            </w:r>
            <w:r>
              <w:rPr>
                <w:rFonts w:hint="eastAsia" w:ascii="Times New Roman" w:hAnsi="Times New Roman" w:eastAsia="仿宋"/>
                <w:sz w:val="22"/>
              </w:rPr>
              <w:t>太平船务有限公司（“</w:t>
            </w:r>
            <w:r>
              <w:rPr>
                <w:rFonts w:hint="eastAsia" w:ascii="Times New Roman" w:hAnsi="Times New Roman" w:eastAsia="仿宋"/>
                <w:b/>
                <w:bCs/>
                <w:sz w:val="22"/>
              </w:rPr>
              <w:t>PIL船务</w:t>
            </w:r>
            <w:r>
              <w:rPr>
                <w:rFonts w:hint="eastAsia" w:ascii="Times New Roman" w:hAnsi="Times New Roman" w:eastAsia="仿宋"/>
                <w:sz w:val="22"/>
              </w:rPr>
              <w:t>”）</w:t>
            </w:r>
            <w:r>
              <w:rPr>
                <w:rFonts w:ascii="Times New Roman" w:hAnsi="Times New Roman" w:eastAsia="仿宋"/>
                <w:sz w:val="22"/>
              </w:rPr>
              <w:t>的唯一股东。PIL控股拟将其持有的PIL船务及其姐妹公司</w:t>
            </w:r>
            <w:r>
              <w:rPr>
                <w:rFonts w:hint="eastAsia" w:ascii="Times New Roman" w:hAnsi="Times New Roman" w:eastAsia="仿宋"/>
                <w:sz w:val="22"/>
              </w:rPr>
              <w:t>太平船务海事有限公司（“</w:t>
            </w:r>
            <w:r>
              <w:rPr>
                <w:rFonts w:hint="eastAsia" w:ascii="Times New Roman" w:hAnsi="Times New Roman" w:eastAsia="仿宋"/>
                <w:b/>
                <w:bCs/>
                <w:sz w:val="22"/>
              </w:rPr>
              <w:t>PIL海事</w:t>
            </w:r>
            <w:r>
              <w:rPr>
                <w:rFonts w:hint="eastAsia" w:ascii="Times New Roman" w:hAnsi="Times New Roman" w:eastAsia="仿宋"/>
                <w:sz w:val="22"/>
              </w:rPr>
              <w:t>”）和太平船务企业有限公司（“</w:t>
            </w:r>
            <w:r>
              <w:rPr>
                <w:rFonts w:hint="eastAsia" w:ascii="Times New Roman" w:hAnsi="Times New Roman" w:eastAsia="仿宋"/>
                <w:b/>
                <w:bCs/>
                <w:sz w:val="22"/>
              </w:rPr>
              <w:t>PIL企业</w:t>
            </w:r>
            <w:r>
              <w:rPr>
                <w:rFonts w:hint="eastAsia" w:ascii="Times New Roman" w:hAnsi="Times New Roman" w:eastAsia="仿宋"/>
                <w:sz w:val="22"/>
              </w:rPr>
              <w:t>”）</w:t>
            </w:r>
            <w:r>
              <w:rPr>
                <w:rFonts w:ascii="Times New Roman" w:hAnsi="Times New Roman" w:eastAsia="仿宋"/>
                <w:sz w:val="22"/>
              </w:rPr>
              <w:t>的100%的股权转让给目标公司。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拟议</w:t>
            </w:r>
            <w:r>
              <w:rPr>
                <w:rFonts w:hint="eastAsia" w:ascii="Times New Roman" w:hAnsi="Times New Roman" w:eastAsia="仿宋"/>
                <w:sz w:val="22"/>
              </w:rPr>
              <w:t>收购</w:t>
            </w:r>
            <w:r>
              <w:rPr>
                <w:rFonts w:ascii="Times New Roman" w:hAnsi="Times New Roman" w:eastAsia="仿宋"/>
                <w:sz w:val="22"/>
              </w:rPr>
              <w:t>实施前，目标公司将由PIL控股全资持股并控制。拟议</w:t>
            </w:r>
            <w:r>
              <w:rPr>
                <w:rFonts w:hint="eastAsia" w:ascii="Times New Roman" w:hAnsi="Times New Roman" w:eastAsia="仿宋"/>
                <w:sz w:val="22"/>
              </w:rPr>
              <w:t>收购</w:t>
            </w:r>
            <w:r>
              <w:rPr>
                <w:rFonts w:ascii="Times New Roman" w:hAnsi="Times New Roman" w:eastAsia="仿宋"/>
                <w:sz w:val="22"/>
              </w:rPr>
              <w:t>完成后，目标公司将由海丽凯通过投资者</w:t>
            </w:r>
            <w:r>
              <w:rPr>
                <w:rFonts w:hint="eastAsia" w:ascii="Times New Roman" w:hAnsi="Times New Roman" w:eastAsia="仿宋"/>
                <w:sz w:val="22"/>
                <w:u w:val="single"/>
              </w:rPr>
              <w:t>单独控制</w:t>
            </w:r>
            <w:r>
              <w:rPr>
                <w:rFonts w:ascii="Times New Roman" w:hAnsi="Times New Roman" w:eastAsia="仿宋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4" w:type="dxa"/>
            <w:vMerge w:val="restart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参与集中的经营者简介</w:t>
            </w:r>
          </w:p>
        </w:tc>
        <w:tc>
          <w:tcPr>
            <w:tcW w:w="170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1、海丽凯</w:t>
            </w:r>
          </w:p>
        </w:tc>
        <w:tc>
          <w:tcPr>
            <w:tcW w:w="488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海丽凯是一家总部位于新加坡的投资公司，</w:t>
            </w:r>
            <w:r>
              <w:rPr>
                <w:rFonts w:hint="eastAsia" w:ascii="Times New Roman" w:hAnsi="Times New Roman" w:eastAsia="仿宋"/>
                <w:sz w:val="22"/>
              </w:rPr>
              <w:t>其为新加坡公司提供资</w:t>
            </w:r>
            <w:r>
              <w:rPr>
                <w:rFonts w:ascii="Times New Roman" w:hAnsi="Times New Roman" w:eastAsia="仿宋"/>
                <w:sz w:val="22"/>
              </w:rPr>
              <w:t>金</w:t>
            </w:r>
            <w:r>
              <w:rPr>
                <w:rFonts w:hint="eastAsia" w:ascii="Times New Roman" w:hAnsi="Times New Roman" w:eastAsia="仿宋"/>
                <w:sz w:val="22"/>
              </w:rPr>
              <w:t>，帮助它们成为在全球具有竞争力的公司。海丽凯是一家由淡马锡间接全资拥有、但是独立运营的被投企业。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170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2、PIL船务</w:t>
            </w:r>
          </w:p>
        </w:tc>
        <w:tc>
          <w:tcPr>
            <w:tcW w:w="488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  <w:lang w:val="en-GB"/>
              </w:rPr>
            </w:pPr>
            <w:r>
              <w:rPr>
                <w:rFonts w:ascii="Times New Roman" w:hAnsi="Times New Roman" w:eastAsia="仿宋"/>
                <w:sz w:val="22"/>
                <w:lang w:val="en-GB"/>
              </w:rPr>
              <w:t>PIL船务总部位于新加坡，在全球90多个国家的500多个地点提供班轮运输服务。其业务网络</w:t>
            </w:r>
            <w:r>
              <w:rPr>
                <w:rFonts w:hint="eastAsia" w:ascii="Times New Roman" w:hAnsi="Times New Roman" w:eastAsia="仿宋"/>
                <w:sz w:val="22"/>
                <w:lang w:val="en-GB"/>
              </w:rPr>
              <w:t>覆盖</w:t>
            </w:r>
            <w:r>
              <w:rPr>
                <w:rFonts w:ascii="Times New Roman" w:hAnsi="Times New Roman" w:eastAsia="仿宋"/>
                <w:sz w:val="22"/>
                <w:lang w:val="en-GB"/>
              </w:rPr>
              <w:t>中国、东南亚、非洲、中东、拉丁美洲、大洋洲和太平洋</w:t>
            </w:r>
            <w:r>
              <w:rPr>
                <w:rFonts w:hint="eastAsia" w:ascii="Times New Roman" w:hAnsi="Times New Roman" w:eastAsia="仿宋"/>
                <w:sz w:val="22"/>
                <w:lang w:val="en-GB"/>
              </w:rPr>
              <w:t>群岛</w:t>
            </w:r>
            <w:r>
              <w:rPr>
                <w:rFonts w:ascii="Times New Roman" w:hAnsi="Times New Roman" w:eastAsia="仿宋"/>
                <w:sz w:val="22"/>
                <w:lang w:val="en-GB"/>
              </w:rPr>
              <w:t>。除核心业务班轮运输外，PIL船务还拥有</w:t>
            </w:r>
            <w:r>
              <w:rPr>
                <w:rFonts w:hint="eastAsia" w:ascii="Times New Roman" w:hAnsi="Times New Roman" w:eastAsia="仿宋"/>
                <w:sz w:val="22"/>
                <w:lang w:val="en-GB"/>
              </w:rPr>
              <w:t>堆场</w:t>
            </w:r>
            <w:r>
              <w:rPr>
                <w:rFonts w:ascii="Times New Roman" w:hAnsi="Times New Roman" w:eastAsia="仿宋"/>
                <w:sz w:val="22"/>
                <w:lang w:val="en-GB"/>
              </w:rPr>
              <w:t>物流服务等多个其他业务部门。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170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3、PIL海事</w:t>
            </w:r>
          </w:p>
        </w:tc>
        <w:tc>
          <w:tcPr>
            <w:tcW w:w="488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PIL海事总部位于新加坡，主要通过其控制的关联实体从事投资控股；物流服务；经营油气供应基地；销售和分销变频驱动器与供暖系统、通风与空调设备、吸收式制冷机等业务。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170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4、PIL企业</w:t>
            </w:r>
          </w:p>
        </w:tc>
        <w:tc>
          <w:tcPr>
            <w:tcW w:w="4881" w:type="dxa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PIL企业总部位于新加坡，主要通过其控制的关联实体从事对地产及旅行社的投资业务</w:t>
            </w:r>
            <w:r>
              <w:rPr>
                <w:rFonts w:hint="eastAsia" w:ascii="Times New Roman" w:hAnsi="Times New Roman" w:eastAsia="仿宋"/>
                <w:sz w:val="22"/>
              </w:rPr>
              <w:t>等</w:t>
            </w:r>
            <w:r>
              <w:rPr>
                <w:rFonts w:ascii="Times New Roman" w:hAnsi="Times New Roman" w:eastAsia="仿宋"/>
                <w:sz w:val="22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714" w:type="dxa"/>
            <w:vMerge w:val="restart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简易案件理由（可以单选，也可以多选）</w:t>
            </w: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□1、在同一相关市场，所有参与集中的经营者所占市场份额之和小于15%。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sym w:font="Wingdings" w:char="F0FE"/>
            </w:r>
            <w:r>
              <w:rPr>
                <w:rFonts w:ascii="Times New Roman" w:hAnsi="Times New Roman" w:eastAsia="仿宋"/>
                <w:sz w:val="22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□3、不在同一相关市场、也不存在上下游关系的参与集中的经营者，在与交易有关的每个市场所占的份额均小于25%。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714" w:type="dxa"/>
            <w:vMerge w:val="continue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34" w:hRule="atLeast"/>
        </w:trPr>
        <w:tc>
          <w:tcPr>
            <w:tcW w:w="1714" w:type="dxa"/>
            <w:shd w:val="clear" w:color="auto" w:fill="D9D9D9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备注</w:t>
            </w:r>
          </w:p>
        </w:tc>
        <w:tc>
          <w:tcPr>
            <w:tcW w:w="6582" w:type="dxa"/>
            <w:gridSpan w:val="2"/>
          </w:tcPr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拟议收购涉及的相关市场及交易方的市场份额如下：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b/>
                <w:bCs/>
                <w:sz w:val="22"/>
              </w:rPr>
              <w:t>相关</w:t>
            </w:r>
            <w:r>
              <w:rPr>
                <w:rFonts w:hint="eastAsia" w:ascii="Times New Roman" w:hAnsi="Times New Roman" w:eastAsia="仿宋"/>
                <w:b/>
                <w:bCs/>
                <w:sz w:val="22"/>
              </w:rPr>
              <w:t>产品</w:t>
            </w:r>
            <w:r>
              <w:rPr>
                <w:rFonts w:ascii="Times New Roman" w:hAnsi="Times New Roman" w:eastAsia="仿宋"/>
                <w:b/>
                <w:bCs/>
                <w:sz w:val="22"/>
              </w:rPr>
              <w:t>市场</w:t>
            </w:r>
            <w:r>
              <w:rPr>
                <w:rFonts w:ascii="Times New Roman" w:hAnsi="Times New Roman" w:eastAsia="仿宋"/>
                <w:sz w:val="22"/>
              </w:rPr>
              <w:t>：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上游：</w:t>
            </w:r>
            <w:r>
              <w:rPr>
                <w:rFonts w:hint="eastAsia" w:ascii="Times New Roman" w:hAnsi="Times New Roman" w:eastAsia="仿宋"/>
                <w:sz w:val="22"/>
                <w:lang w:val="en-US" w:eastAsia="zh-CN"/>
              </w:rPr>
              <w:t>集装箱港口/码头服务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下游：集装箱班轮运输服务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b/>
                <w:bCs/>
                <w:sz w:val="22"/>
              </w:rPr>
              <w:t>相关地域市场</w:t>
            </w:r>
            <w:r>
              <w:rPr>
                <w:rFonts w:ascii="Times New Roman" w:hAnsi="Times New Roman" w:eastAsia="仿宋"/>
                <w:sz w:val="22"/>
              </w:rPr>
              <w:t>：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集装箱码头服务——中国市场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集装箱班轮运输服务——各贸易航线的</w:t>
            </w:r>
            <w:r>
              <w:rPr>
                <w:rFonts w:hint="eastAsia" w:ascii="Times New Roman" w:hAnsi="Times New Roman" w:eastAsia="仿宋"/>
                <w:sz w:val="22"/>
              </w:rPr>
              <w:t>每个</w:t>
            </w:r>
            <w:r>
              <w:rPr>
                <w:rFonts w:ascii="Times New Roman" w:hAnsi="Times New Roman" w:eastAsia="仿宋"/>
                <w:sz w:val="22"/>
              </w:rPr>
              <w:t>方向均可构成一个单独的地域市场。拟议收购涉及的相关</w:t>
            </w:r>
            <w:r>
              <w:rPr>
                <w:rFonts w:hint="eastAsia" w:ascii="Times New Roman" w:hAnsi="Times New Roman" w:eastAsia="仿宋"/>
                <w:sz w:val="22"/>
              </w:rPr>
              <w:t>贸易</w:t>
            </w:r>
            <w:r>
              <w:rPr>
                <w:rFonts w:ascii="Times New Roman" w:hAnsi="Times New Roman" w:eastAsia="仿宋"/>
                <w:sz w:val="22"/>
              </w:rPr>
              <w:t>航线</w:t>
            </w:r>
            <w:r>
              <w:rPr>
                <w:rFonts w:hint="eastAsia" w:ascii="Times New Roman" w:hAnsi="Times New Roman" w:eastAsia="仿宋"/>
                <w:sz w:val="22"/>
              </w:rPr>
              <w:t>是</w:t>
            </w:r>
            <w:r>
              <w:rPr>
                <w:rFonts w:ascii="Times New Roman" w:hAnsi="Times New Roman" w:eastAsia="仿宋"/>
                <w:sz w:val="22"/>
              </w:rPr>
              <w:t>涉及远东的贸易航线</w:t>
            </w:r>
            <w:r>
              <w:rPr>
                <w:rFonts w:hint="eastAsia" w:ascii="Times New Roman" w:hAnsi="Times New Roman" w:eastAsia="仿宋"/>
                <w:sz w:val="22"/>
              </w:rPr>
              <w:t>以及</w:t>
            </w:r>
            <w:r>
              <w:rPr>
                <w:rFonts w:ascii="Times New Roman" w:hAnsi="Times New Roman" w:eastAsia="仿宋"/>
                <w:sz w:val="22"/>
              </w:rPr>
              <w:t>亚洲内部</w:t>
            </w:r>
            <w:r>
              <w:rPr>
                <w:rFonts w:hint="eastAsia" w:ascii="Times New Roman" w:hAnsi="Times New Roman" w:eastAsia="仿宋"/>
                <w:sz w:val="22"/>
              </w:rPr>
              <w:t>贸易</w:t>
            </w:r>
            <w:r>
              <w:rPr>
                <w:rFonts w:ascii="Times New Roman" w:hAnsi="Times New Roman" w:eastAsia="仿宋"/>
                <w:sz w:val="22"/>
              </w:rPr>
              <w:t>航线。以下为拟议收购涉及的贸易航线</w:t>
            </w:r>
            <w:r>
              <w:rPr>
                <w:rFonts w:hint="eastAsia" w:ascii="Times New Roman" w:hAnsi="Times New Roman" w:eastAsia="仿宋"/>
                <w:sz w:val="22"/>
              </w:rPr>
              <w:t>列表</w:t>
            </w:r>
            <w:r>
              <w:rPr>
                <w:rFonts w:ascii="Times New Roman" w:hAnsi="Times New Roman" w:eastAsia="仿宋"/>
                <w:sz w:val="22"/>
              </w:rPr>
              <w:t>。</w:t>
            </w:r>
          </w:p>
          <w:tbl>
            <w:tblPr>
              <w:tblStyle w:val="8"/>
              <w:tblW w:w="6176" w:type="dxa"/>
              <w:tblInd w:w="1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7"/>
              <w:gridCol w:w="2387"/>
              <w:gridCol w:w="3212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shd w:val="clear" w:color="auto" w:fill="B4C6E7"/>
                  <w:vAlign w:val="center"/>
                </w:tcPr>
                <w:p>
                  <w:pPr>
                    <w:snapToGrid w:val="0"/>
                    <w:spacing w:before="156" w:beforeLines="50" w:after="156" w:afterLines="50"/>
                    <w:rPr>
                      <w:rFonts w:ascii="Times New Roman" w:hAnsi="Times New Roman" w:eastAsia="仿宋"/>
                      <w:b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/>
                      <w:kern w:val="0"/>
                      <w:sz w:val="22"/>
                    </w:rPr>
                    <w:t>序号</w:t>
                  </w:r>
                </w:p>
              </w:tc>
              <w:tc>
                <w:tcPr>
                  <w:tcW w:w="2387" w:type="dxa"/>
                  <w:shd w:val="clear" w:color="auto" w:fill="B4C6E7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/>
                      <w:sz w:val="22"/>
                      <w:szCs w:val="22"/>
                      <w:lang w:eastAsia="zh-CN"/>
                    </w:rPr>
                    <w:t>贸易航线</w:t>
                  </w:r>
                </w:p>
              </w:tc>
              <w:tc>
                <w:tcPr>
                  <w:tcW w:w="3212" w:type="dxa"/>
                  <w:shd w:val="clear" w:color="auto" w:fill="B4C6E7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/>
                      <w:sz w:val="22"/>
                      <w:szCs w:val="22"/>
                      <w:lang w:eastAsia="zh-CN"/>
                    </w:rPr>
                    <w:t>航线</w:t>
                  </w:r>
                  <w:r>
                    <w:rPr>
                      <w:rFonts w:ascii="Times New Roman" w:eastAsia="仿宋"/>
                      <w:b/>
                      <w:sz w:val="22"/>
                      <w:szCs w:val="22"/>
                    </w:rPr>
                    <w:t>方向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远东—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印度次大陆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远东—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印度次大陆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印度次大陆</w:t>
                  </w: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—</w:t>
                  </w:r>
                  <w:r>
                    <w:rPr>
                      <w:rFonts w:hint="eastAsia" w:ascii="Times New Roman" w:hAnsi="Times New Roman" w:eastAsia="仿宋"/>
                      <w:bCs/>
                      <w:sz w:val="22"/>
                    </w:rPr>
                    <w:t>澳大利亚&amp;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大洋洲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—</w:t>
                  </w:r>
                  <w:r>
                    <w:rPr>
                      <w:rFonts w:hint="eastAsia" w:ascii="Times New Roman" w:hAnsi="Times New Roman" w:eastAsia="仿宋"/>
                      <w:bCs/>
                      <w:sz w:val="22"/>
                    </w:rPr>
                    <w:t>澳大利亚&amp;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大洋洲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hint="eastAsia" w:ascii="Times New Roman" w:hAnsi="Times New Roman" w:eastAsia="仿宋"/>
                      <w:bCs/>
                      <w:sz w:val="22"/>
                    </w:rPr>
                    <w:t>澳大利亚&amp;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大洋洲—</w:t>
                  </w: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远东—南非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远东—南非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南非—远东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远东—西非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远东—西非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西非—远东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远东—东非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远东—东非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东非—远东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远东—南美西海岸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远东—南美西海岸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南美西海岸—远东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远东—南美东海岸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远东—南美东海岸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南美东海岸—远东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</w:rPr>
                    <w:t>远东—中东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远东—中东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中东—远东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远东—红海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远东—红海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红海—远东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远东—北美西海岸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远东—北美西海岸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北美西海岸—远东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577" w:type="dxa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387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远东</w:t>
                  </w: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内部航线</w:t>
                  </w:r>
                </w:p>
              </w:tc>
              <w:tc>
                <w:tcPr>
                  <w:tcW w:w="3212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远东—远东</w:t>
                  </w:r>
                </w:p>
              </w:tc>
            </w:tr>
          </w:tbl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市场份额数据：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hint="eastAsia" w:ascii="Times New Roman" w:hAnsi="Times New Roman" w:eastAsia="仿宋"/>
                <w:sz w:val="22"/>
              </w:rPr>
              <w:t>中国</w:t>
            </w:r>
            <w:r>
              <w:rPr>
                <w:rFonts w:ascii="Times New Roman" w:hAnsi="Times New Roman" w:eastAsia="仿宋"/>
                <w:sz w:val="22"/>
              </w:rPr>
              <w:t>集装箱码头服务市场：海丽凯（通过淡马锡的</w:t>
            </w:r>
            <w:r>
              <w:rPr>
                <w:rFonts w:hint="eastAsia" w:ascii="Times New Roman" w:hAnsi="Times New Roman" w:eastAsia="仿宋"/>
                <w:sz w:val="22"/>
              </w:rPr>
              <w:t>经营性</w:t>
            </w:r>
            <w:r>
              <w:rPr>
                <w:rFonts w:ascii="Times New Roman" w:hAnsi="Times New Roman" w:eastAsia="仿宋"/>
                <w:sz w:val="22"/>
              </w:rPr>
              <w:t>被投企业PSA）– [5-10]%</w:t>
            </w:r>
          </w:p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  <w:r>
              <w:rPr>
                <w:rFonts w:ascii="Times New Roman" w:hAnsi="Times New Roman" w:eastAsia="仿宋"/>
                <w:sz w:val="22"/>
              </w:rPr>
              <w:t>集装箱班轮运输服务：PIL</w:t>
            </w:r>
            <w:r>
              <w:rPr>
                <w:rFonts w:hint="eastAsia" w:ascii="Times New Roman" w:hAnsi="Times New Roman" w:eastAsia="仿宋"/>
                <w:sz w:val="22"/>
              </w:rPr>
              <w:t>在其从事业务的</w:t>
            </w:r>
            <w:r>
              <w:rPr>
                <w:rFonts w:ascii="Times New Roman" w:hAnsi="Times New Roman" w:eastAsia="仿宋"/>
                <w:sz w:val="22"/>
              </w:rPr>
              <w:t>远东</w:t>
            </w:r>
            <w:r>
              <w:rPr>
                <w:rFonts w:hint="eastAsia" w:ascii="Times New Roman" w:hAnsi="Times New Roman" w:eastAsia="仿宋"/>
                <w:sz w:val="22"/>
              </w:rPr>
              <w:t>相关航线的两个方向以及</w:t>
            </w:r>
            <w:r>
              <w:rPr>
                <w:rFonts w:ascii="Times New Roman" w:hAnsi="Times New Roman" w:eastAsia="仿宋"/>
                <w:sz w:val="22"/>
              </w:rPr>
              <w:t>亚洲内部航线的2019年市场份额如下：</w:t>
            </w:r>
          </w:p>
          <w:tbl>
            <w:tblPr>
              <w:tblStyle w:val="8"/>
              <w:tblW w:w="6176" w:type="dxa"/>
              <w:tblInd w:w="18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606"/>
              <w:gridCol w:w="1630"/>
              <w:gridCol w:w="2800"/>
              <w:gridCol w:w="114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833" w:hRule="atLeast"/>
              </w:trPr>
              <w:tc>
                <w:tcPr>
                  <w:tcW w:w="606" w:type="dxa"/>
                  <w:shd w:val="clear" w:color="auto" w:fill="B4C6E7"/>
                  <w:vAlign w:val="center"/>
                </w:tcPr>
                <w:p>
                  <w:pPr>
                    <w:snapToGrid w:val="0"/>
                    <w:spacing w:before="156" w:beforeLines="50" w:after="156" w:afterLines="50"/>
                    <w:rPr>
                      <w:rFonts w:ascii="Times New Roman" w:hAnsi="Times New Roman" w:eastAsia="仿宋"/>
                      <w:b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/>
                      <w:kern w:val="0"/>
                      <w:sz w:val="22"/>
                    </w:rPr>
                    <w:t>序号</w:t>
                  </w:r>
                </w:p>
              </w:tc>
              <w:tc>
                <w:tcPr>
                  <w:tcW w:w="1630" w:type="dxa"/>
                  <w:shd w:val="clear" w:color="auto" w:fill="B4C6E7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/>
                      <w:sz w:val="22"/>
                      <w:szCs w:val="22"/>
                      <w:lang w:eastAsia="zh-CN"/>
                    </w:rPr>
                    <w:t>贸易航线</w:t>
                  </w:r>
                </w:p>
              </w:tc>
              <w:tc>
                <w:tcPr>
                  <w:tcW w:w="2800" w:type="dxa"/>
                  <w:shd w:val="clear" w:color="auto" w:fill="B4C6E7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/>
                      <w:sz w:val="22"/>
                      <w:szCs w:val="22"/>
                      <w:lang w:eastAsia="zh-CN"/>
                    </w:rPr>
                    <w:t>航线</w:t>
                  </w:r>
                  <w:r>
                    <w:rPr>
                      <w:rFonts w:ascii="Times New Roman" w:eastAsia="仿宋"/>
                      <w:b/>
                      <w:sz w:val="22"/>
                      <w:szCs w:val="22"/>
                    </w:rPr>
                    <w:t>方向</w:t>
                  </w:r>
                </w:p>
              </w:tc>
              <w:tc>
                <w:tcPr>
                  <w:tcW w:w="1140" w:type="dxa"/>
                  <w:shd w:val="clear" w:color="auto" w:fill="B4C6E7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/>
                      <w:sz w:val="22"/>
                      <w:szCs w:val="22"/>
                      <w:lang w:eastAsia="zh-CN"/>
                    </w:rPr>
                    <w:t>市场份额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0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远东—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印度次大陆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远东—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印度次大陆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2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印度次大陆</w:t>
                  </w: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8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—</w:t>
                  </w:r>
                  <w:r>
                    <w:rPr>
                      <w:rFonts w:hint="eastAsia" w:ascii="Times New Roman" w:hAnsi="Times New Roman" w:eastAsia="仿宋"/>
                      <w:bCs/>
                      <w:sz w:val="22"/>
                    </w:rPr>
                    <w:t>澳大利亚&amp;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大洋洲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—</w:t>
                  </w:r>
                  <w:r>
                    <w:rPr>
                      <w:rFonts w:hint="eastAsia" w:ascii="Times New Roman" w:hAnsi="Times New Roman" w:eastAsia="仿宋"/>
                      <w:bCs/>
                      <w:sz w:val="22"/>
                    </w:rPr>
                    <w:t>澳大利亚&amp;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大洋洲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2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hint="eastAsia" w:ascii="Times New Roman" w:hAnsi="Times New Roman" w:eastAsia="仿宋"/>
                      <w:bCs/>
                      <w:sz w:val="22"/>
                    </w:rPr>
                    <w:t>澳大利亚&amp;</w:t>
                  </w: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大洋洲—</w:t>
                  </w: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9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远东—南非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远东—南非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9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南非—远东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5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远东—西非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远东—西非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6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西非—远东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[10-15]%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3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远东—东非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远东—东非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[20-25]%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6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东非—远东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[20-25]%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10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远东—南美西海岸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远东—南美西海岸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2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南美西海岸—远东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98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远东—南美东海岸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远东—南美东海岸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[5-10]%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2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南美东海岸—远东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[5-10]%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05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</w:rPr>
                    <w:t>远东—中东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远东—中东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6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中东—远东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kern w:val="0"/>
                      <w:sz w:val="22"/>
                    </w:rPr>
                    <w:t>[0-5]%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9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远东—红海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远东—红海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[20-25]%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1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红海—远东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[20-25]%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28" w:hRule="atLeast"/>
              </w:trPr>
              <w:tc>
                <w:tcPr>
                  <w:tcW w:w="606" w:type="dxa"/>
                  <w:vMerge w:val="restart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restart"/>
                  <w:shd w:val="clear" w:color="auto" w:fill="auto"/>
                  <w:vAlign w:val="center"/>
                </w:tcPr>
                <w:p>
                  <w:pPr>
                    <w:snapToGrid w:val="0"/>
                    <w:spacing w:after="156" w:afterLines="50"/>
                    <w:rPr>
                      <w:rFonts w:ascii="Times New Roman" w:hAnsi="Times New Roman" w:eastAsia="仿宋"/>
                      <w:bCs/>
                      <w:sz w:val="22"/>
                    </w:rPr>
                  </w:pPr>
                  <w:r>
                    <w:rPr>
                      <w:rFonts w:ascii="Times New Roman" w:hAnsi="Times New Roman" w:eastAsia="仿宋"/>
                      <w:bCs/>
                      <w:sz w:val="22"/>
                    </w:rPr>
                    <w:t>远东—北美西海岸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远东—北美西海岸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[</w:t>
                  </w: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0</w:t>
                  </w: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-</w:t>
                  </w: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5]</w:t>
                  </w: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39" w:hRule="atLeast"/>
              </w:trPr>
              <w:tc>
                <w:tcPr>
                  <w:tcW w:w="606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vMerge w:val="continue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北美西海岸—远东</w:t>
                  </w:r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pStyle w:val="14"/>
                    <w:snapToGrid w:val="0"/>
                    <w:spacing w:after="156" w:afterLines="50" w:line="360" w:lineRule="auto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[0</w:t>
                  </w: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-</w:t>
                  </w: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5]</w:t>
                  </w: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8" w:hRule="atLeast"/>
              </w:trPr>
              <w:tc>
                <w:tcPr>
                  <w:tcW w:w="606" w:type="dxa"/>
                  <w:shd w:val="clear" w:color="auto" w:fill="auto"/>
                  <w:vAlign w:val="center"/>
                </w:tcPr>
                <w:p>
                  <w:pPr>
                    <w:pStyle w:val="14"/>
                    <w:widowControl w:val="0"/>
                    <w:numPr>
                      <w:ilvl w:val="0"/>
                      <w:numId w:val="1"/>
                    </w:numPr>
                    <w:adjustRightInd/>
                    <w:snapToGrid w:val="0"/>
                    <w:spacing w:after="156" w:afterLines="5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</w:p>
              </w:tc>
              <w:tc>
                <w:tcPr>
                  <w:tcW w:w="163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远东</w:t>
                  </w: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内部</w:t>
                  </w:r>
                  <w:r>
                    <w:rPr>
                      <w:rFonts w:ascii="Times New Roman" w:eastAsia="仿宋"/>
                      <w:bCs/>
                      <w:sz w:val="22"/>
                      <w:szCs w:val="22"/>
                    </w:rPr>
                    <w:t>航线</w:t>
                  </w:r>
                </w:p>
              </w:tc>
              <w:tc>
                <w:tcPr>
                  <w:tcW w:w="2800" w:type="dxa"/>
                  <w:shd w:val="clear" w:color="auto" w:fill="auto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</w:rPr>
                  </w:pP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远东—远东</w:t>
                  </w:r>
                  <w:bookmarkStart w:id="0" w:name="_GoBack"/>
                  <w:bookmarkEnd w:id="0"/>
                </w:p>
              </w:tc>
              <w:tc>
                <w:tcPr>
                  <w:tcW w:w="1140" w:type="dxa"/>
                  <w:vAlign w:val="center"/>
                </w:tcPr>
                <w:p>
                  <w:pPr>
                    <w:pStyle w:val="14"/>
                    <w:snapToGrid w:val="0"/>
                    <w:spacing w:after="156" w:afterLines="50"/>
                    <w:ind w:left="0"/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</w:pPr>
                  <w:r>
                    <w:rPr>
                      <w:rFonts w:hint="eastAsia" w:ascii="Times New Roman" w:eastAsia="仿宋"/>
                      <w:bCs/>
                      <w:sz w:val="22"/>
                      <w:szCs w:val="22"/>
                      <w:lang w:eastAsia="zh-CN"/>
                    </w:rPr>
                    <w:t>[0-</w:t>
                  </w:r>
                  <w:r>
                    <w:rPr>
                      <w:rFonts w:ascii="Times New Roman" w:eastAsia="仿宋"/>
                      <w:bCs/>
                      <w:sz w:val="22"/>
                      <w:szCs w:val="22"/>
                      <w:lang w:eastAsia="zh-CN"/>
                    </w:rPr>
                    <w:t>5]%</w:t>
                  </w:r>
                </w:p>
              </w:tc>
            </w:tr>
          </w:tbl>
          <w:p>
            <w:pPr>
              <w:snapToGrid w:val="0"/>
              <w:spacing w:after="156" w:afterLines="50"/>
              <w:rPr>
                <w:rFonts w:ascii="Times New Roman" w:hAnsi="Times New Roman" w:eastAsia="仿宋"/>
                <w:sz w:val="22"/>
              </w:rPr>
            </w:pPr>
          </w:p>
        </w:tc>
      </w:tr>
    </w:tbl>
    <w:p>
      <w:pPr>
        <w:rPr>
          <w:rFonts w:ascii="Times New Roman" w:hAnsi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65640628"/>
      <w:docPartObj>
        <w:docPartGallery w:val="AutoText"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AutoText"/>
          </w:docPartObj>
        </w:sdtPr>
        <w:sdtEndPr>
          <w:rPr>
            <w:rFonts w:ascii="Times New Roman" w:hAnsi="Times New Roman"/>
          </w:rPr>
        </w:sdtEndPr>
        <w:sdtContent>
          <w:p>
            <w:pPr>
              <w:pStyle w:val="4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zh-C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PAGE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/>
                <w:lang w:val="zh-CN"/>
              </w:rPr>
              <w:t xml:space="preserve"> /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/>
                <w:b/>
                <w:bCs/>
              </w:rPr>
              <w:instrText xml:space="preserve">NUMPAGES</w:instrTex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/>
                <w:b/>
                <w:bCs/>
              </w:rPr>
              <w:t>4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6F7481"/>
    <w:multiLevelType w:val="multilevel"/>
    <w:tmpl w:val="116F7481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NotTrackMoves/>
  <w:doNotTrackFormatting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50DC7"/>
    <w:rsid w:val="000677C0"/>
    <w:rsid w:val="0007346C"/>
    <w:rsid w:val="00076BF5"/>
    <w:rsid w:val="00077988"/>
    <w:rsid w:val="00082207"/>
    <w:rsid w:val="00086274"/>
    <w:rsid w:val="00086C70"/>
    <w:rsid w:val="00091462"/>
    <w:rsid w:val="00093030"/>
    <w:rsid w:val="00094095"/>
    <w:rsid w:val="00096AEF"/>
    <w:rsid w:val="000A6BEA"/>
    <w:rsid w:val="000B5838"/>
    <w:rsid w:val="000C2F85"/>
    <w:rsid w:val="000F7A6B"/>
    <w:rsid w:val="001015A6"/>
    <w:rsid w:val="00113C30"/>
    <w:rsid w:val="00117A18"/>
    <w:rsid w:val="00124FBA"/>
    <w:rsid w:val="001438D9"/>
    <w:rsid w:val="00152176"/>
    <w:rsid w:val="00164213"/>
    <w:rsid w:val="00172C2D"/>
    <w:rsid w:val="001A0BC6"/>
    <w:rsid w:val="001B683F"/>
    <w:rsid w:val="001F4236"/>
    <w:rsid w:val="0020168A"/>
    <w:rsid w:val="002028D5"/>
    <w:rsid w:val="0020710D"/>
    <w:rsid w:val="00217041"/>
    <w:rsid w:val="00245776"/>
    <w:rsid w:val="0028134F"/>
    <w:rsid w:val="002A14C1"/>
    <w:rsid w:val="002B5865"/>
    <w:rsid w:val="002D5831"/>
    <w:rsid w:val="002F2D60"/>
    <w:rsid w:val="00307976"/>
    <w:rsid w:val="0033632D"/>
    <w:rsid w:val="003447A1"/>
    <w:rsid w:val="003E7BA4"/>
    <w:rsid w:val="003F6C12"/>
    <w:rsid w:val="003F7F2C"/>
    <w:rsid w:val="00434B73"/>
    <w:rsid w:val="00441055"/>
    <w:rsid w:val="0044436C"/>
    <w:rsid w:val="00462174"/>
    <w:rsid w:val="0046767F"/>
    <w:rsid w:val="00486DBC"/>
    <w:rsid w:val="00494DA4"/>
    <w:rsid w:val="004B1482"/>
    <w:rsid w:val="004D4691"/>
    <w:rsid w:val="004D5718"/>
    <w:rsid w:val="004D63C1"/>
    <w:rsid w:val="004E6409"/>
    <w:rsid w:val="004F3BF8"/>
    <w:rsid w:val="005129DC"/>
    <w:rsid w:val="005235A8"/>
    <w:rsid w:val="005255B4"/>
    <w:rsid w:val="00561628"/>
    <w:rsid w:val="00564F5D"/>
    <w:rsid w:val="00576828"/>
    <w:rsid w:val="005B26C0"/>
    <w:rsid w:val="005B3653"/>
    <w:rsid w:val="005E7485"/>
    <w:rsid w:val="005F167B"/>
    <w:rsid w:val="005F5496"/>
    <w:rsid w:val="0066507E"/>
    <w:rsid w:val="00666680"/>
    <w:rsid w:val="00695297"/>
    <w:rsid w:val="006C7C45"/>
    <w:rsid w:val="006D3B67"/>
    <w:rsid w:val="006F0BA9"/>
    <w:rsid w:val="00717878"/>
    <w:rsid w:val="00737BD7"/>
    <w:rsid w:val="00753D34"/>
    <w:rsid w:val="00755CBE"/>
    <w:rsid w:val="00777CC9"/>
    <w:rsid w:val="00790BCC"/>
    <w:rsid w:val="007A6E43"/>
    <w:rsid w:val="007B0FA1"/>
    <w:rsid w:val="007D69A1"/>
    <w:rsid w:val="007E15E6"/>
    <w:rsid w:val="007E3F02"/>
    <w:rsid w:val="0081556C"/>
    <w:rsid w:val="00820F1B"/>
    <w:rsid w:val="008320C0"/>
    <w:rsid w:val="00841199"/>
    <w:rsid w:val="008A6BD6"/>
    <w:rsid w:val="008B112B"/>
    <w:rsid w:val="008E5D22"/>
    <w:rsid w:val="008F27B2"/>
    <w:rsid w:val="0090771F"/>
    <w:rsid w:val="009240CA"/>
    <w:rsid w:val="00937CFD"/>
    <w:rsid w:val="00937EC8"/>
    <w:rsid w:val="009464AA"/>
    <w:rsid w:val="00972D0E"/>
    <w:rsid w:val="009C017F"/>
    <w:rsid w:val="00A03CB5"/>
    <w:rsid w:val="00A1203B"/>
    <w:rsid w:val="00A2449A"/>
    <w:rsid w:val="00AA39C4"/>
    <w:rsid w:val="00AA3B5D"/>
    <w:rsid w:val="00AA5915"/>
    <w:rsid w:val="00AD3A60"/>
    <w:rsid w:val="00AE4447"/>
    <w:rsid w:val="00B02A77"/>
    <w:rsid w:val="00B205CD"/>
    <w:rsid w:val="00B27D16"/>
    <w:rsid w:val="00B336F3"/>
    <w:rsid w:val="00B41110"/>
    <w:rsid w:val="00B45C8E"/>
    <w:rsid w:val="00B47029"/>
    <w:rsid w:val="00B91133"/>
    <w:rsid w:val="00BA0750"/>
    <w:rsid w:val="00BA63E8"/>
    <w:rsid w:val="00BB2377"/>
    <w:rsid w:val="00BC1F32"/>
    <w:rsid w:val="00BC3209"/>
    <w:rsid w:val="00BF0AB5"/>
    <w:rsid w:val="00BF37F8"/>
    <w:rsid w:val="00C063FA"/>
    <w:rsid w:val="00C2066A"/>
    <w:rsid w:val="00C26C7F"/>
    <w:rsid w:val="00C2764A"/>
    <w:rsid w:val="00C8421A"/>
    <w:rsid w:val="00C9068E"/>
    <w:rsid w:val="00C96B80"/>
    <w:rsid w:val="00CA08FC"/>
    <w:rsid w:val="00CC2CC0"/>
    <w:rsid w:val="00CC35E4"/>
    <w:rsid w:val="00CC417C"/>
    <w:rsid w:val="00CC5ABD"/>
    <w:rsid w:val="00CD09C3"/>
    <w:rsid w:val="00CE73CF"/>
    <w:rsid w:val="00CF13DB"/>
    <w:rsid w:val="00D076E2"/>
    <w:rsid w:val="00D21777"/>
    <w:rsid w:val="00D36E6A"/>
    <w:rsid w:val="00D45987"/>
    <w:rsid w:val="00D729AD"/>
    <w:rsid w:val="00D74BF2"/>
    <w:rsid w:val="00D750B3"/>
    <w:rsid w:val="00DD6AF1"/>
    <w:rsid w:val="00DE0A14"/>
    <w:rsid w:val="00E06AB9"/>
    <w:rsid w:val="00E233A3"/>
    <w:rsid w:val="00E26150"/>
    <w:rsid w:val="00E348AA"/>
    <w:rsid w:val="00E37584"/>
    <w:rsid w:val="00E44E83"/>
    <w:rsid w:val="00E46E16"/>
    <w:rsid w:val="00E63F70"/>
    <w:rsid w:val="00E70881"/>
    <w:rsid w:val="00E81B19"/>
    <w:rsid w:val="00E97E1F"/>
    <w:rsid w:val="00ED21B1"/>
    <w:rsid w:val="00EF121D"/>
    <w:rsid w:val="00EF715A"/>
    <w:rsid w:val="00F01C09"/>
    <w:rsid w:val="00F31673"/>
    <w:rsid w:val="00F57F3A"/>
    <w:rsid w:val="00F65475"/>
    <w:rsid w:val="00F85CE2"/>
    <w:rsid w:val="00F87C1F"/>
    <w:rsid w:val="00FB7284"/>
    <w:rsid w:val="00FC5857"/>
    <w:rsid w:val="00FC793D"/>
    <w:rsid w:val="00FF52B1"/>
    <w:rsid w:val="3EC10DB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0"/>
    <w:semiHidden/>
    <w:unhideWhenUsed/>
    <w:qFormat/>
    <w:uiPriority w:val="99"/>
    <w:pPr>
      <w:snapToGrid w:val="0"/>
      <w:jc w:val="left"/>
    </w:pPr>
  </w:style>
  <w:style w:type="paragraph" w:styleId="3">
    <w:name w:val="Balloon Text"/>
    <w:basedOn w:val="1"/>
    <w:link w:val="13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endnote reference"/>
    <w:semiHidden/>
    <w:unhideWhenUsed/>
    <w:qFormat/>
    <w:uiPriority w:val="99"/>
    <w:rPr>
      <w:vertAlign w:val="superscript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尾注文本 Char"/>
    <w:basedOn w:val="6"/>
    <w:link w:val="2"/>
    <w:semiHidden/>
    <w:qFormat/>
    <w:uiPriority w:val="99"/>
  </w:style>
  <w:style w:type="character" w:customStyle="1" w:styleId="11">
    <w:name w:val="页眉 Char"/>
    <w:link w:val="5"/>
    <w:qFormat/>
    <w:uiPriority w:val="99"/>
    <w:rPr>
      <w:sz w:val="18"/>
      <w:szCs w:val="18"/>
    </w:rPr>
  </w:style>
  <w:style w:type="character" w:customStyle="1" w:styleId="12">
    <w:name w:val="页脚 Char"/>
    <w:link w:val="4"/>
    <w:qFormat/>
    <w:uiPriority w:val="99"/>
    <w:rPr>
      <w:sz w:val="18"/>
      <w:szCs w:val="18"/>
    </w:rPr>
  </w:style>
  <w:style w:type="character" w:customStyle="1" w:styleId="13">
    <w:name w:val="批注框文本 Char"/>
    <w:basedOn w:val="6"/>
    <w:link w:val="3"/>
    <w:semiHidden/>
    <w:qFormat/>
    <w:uiPriority w:val="99"/>
    <w:rPr>
      <w:kern w:val="2"/>
      <w:sz w:val="18"/>
      <w:szCs w:val="18"/>
      <w:lang w:val="en-US"/>
    </w:rPr>
  </w:style>
  <w:style w:type="paragraph" w:styleId="14">
    <w:name w:val="List Paragraph"/>
    <w:basedOn w:val="1"/>
    <w:link w:val="15"/>
    <w:qFormat/>
    <w:uiPriority w:val="34"/>
    <w:pPr>
      <w:widowControl/>
      <w:adjustRightInd w:val="0"/>
      <w:ind w:left="720"/>
    </w:pPr>
    <w:rPr>
      <w:rFonts w:hAnsi="Times New Roman"/>
      <w:kern w:val="0"/>
      <w:szCs w:val="20"/>
      <w:lang w:eastAsia="en-US"/>
    </w:rPr>
  </w:style>
  <w:style w:type="character" w:customStyle="1" w:styleId="15">
    <w:name w:val="列出段落 Char"/>
    <w:link w:val="14"/>
    <w:uiPriority w:val="99"/>
    <w:rPr>
      <w:rFonts w:hAnsi="Times New Roman"/>
      <w:sz w:val="21"/>
      <w:lang w:val="en-US" w:eastAsia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33DBE8F-21E4-4791-946D-69551916634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322</Words>
  <Characters>1842</Characters>
  <Lines>15</Lines>
  <Paragraphs>4</Paragraphs>
  <TotalTime>1</TotalTime>
  <ScaleCrop>false</ScaleCrop>
  <LinksUpToDate>false</LinksUpToDate>
  <CharactersWithSpaces>2160</CharactersWithSpaces>
  <Application>WPS Office_10.8.2.7129_F1E327BC-269C-435d-A152-05C5408002CA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2020-02-17T17:44:00Z</dcterms:created>
  <dc:creator>dell</dc:creator>
  <cp:lastModifiedBy>陈媚</cp:lastModifiedBy>
  <cp:lastPrinted>2014-10-08T02:48:00Z</cp:lastPrinted>
  <dcterms:modified xsi:type="dcterms:W3CDTF">2021-03-04T03:28:47Z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 Code">
    <vt:lpwstr>10023572</vt:lpwstr>
  </property>
  <property fmtid="{D5CDD505-2E9C-101B-9397-08002B2CF9AE}" pid="3" name="DEDocumentLocation">
    <vt:lpwstr>C:\Users\lvzhou\AppData\Local\Linklaters\DocExplorer\Attachments\A41104241 v0.2 简易案件公示表 - LL comments.docx</vt:lpwstr>
  </property>
  <property fmtid="{D5CDD505-2E9C-101B-9397-08002B2CF9AE}" pid="4" name="Document Number">
    <vt:lpwstr>A41104241</vt:lpwstr>
  </property>
  <property fmtid="{D5CDD505-2E9C-101B-9397-08002B2CF9AE}" pid="5" name="Last Modified">
    <vt:lpwstr>17 Feb 2020</vt:lpwstr>
  </property>
  <property fmtid="{D5CDD505-2E9C-101B-9397-08002B2CF9AE}" pid="6" name="Matter Number">
    <vt:lpwstr>L-247961</vt:lpwstr>
  </property>
  <property fmtid="{D5CDD505-2E9C-101B-9397-08002B2CF9AE}" pid="7" name="Mode">
    <vt:lpwstr>SendAs</vt:lpwstr>
  </property>
  <property fmtid="{D5CDD505-2E9C-101B-9397-08002B2CF9AE}" pid="8" name="Version">
    <vt:lpwstr>0.2</vt:lpwstr>
  </property>
  <property fmtid="{D5CDD505-2E9C-101B-9397-08002B2CF9AE}" pid="9" name="DOC_GUID">
    <vt:lpwstr>6d74f303-798f-4abd-8b3e-59dca91e53a7</vt:lpwstr>
  </property>
  <property fmtid="{D5CDD505-2E9C-101B-9397-08002B2CF9AE}" pid="10" name="ObjectID">
    <vt:lpwstr>09001dc89457df77</vt:lpwstr>
  </property>
  <property fmtid="{D5CDD505-2E9C-101B-9397-08002B2CF9AE}" pid="11" name="_MarkAsFinal">
    <vt:bool>false</vt:bool>
  </property>
  <property fmtid="{D5CDD505-2E9C-101B-9397-08002B2CF9AE}" pid="12" name="KSOProductBuildVer">
    <vt:lpwstr>2052-10.8.2.7129</vt:lpwstr>
  </property>
</Properties>
</file>