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36B825" w14:textId="77777777" w:rsidR="00CB00DF" w:rsidRPr="004F4CCC" w:rsidRDefault="00CB00DF" w:rsidP="00460FB4">
      <w:pPr>
        <w:spacing w:line="276" w:lineRule="auto"/>
        <w:jc w:val="center"/>
        <w:rPr>
          <w:rFonts w:ascii="Times New Roman" w:eastAsia="仿宋_GB2312" w:hAnsi="Times New Roman"/>
          <w:sz w:val="24"/>
          <w:szCs w:val="24"/>
        </w:rPr>
      </w:pPr>
      <w:r w:rsidRPr="004F4CCC">
        <w:rPr>
          <w:rFonts w:ascii="Times New Roman" w:eastAsia="仿宋_GB2312" w:hAnsi="Times New Roman"/>
          <w:sz w:val="24"/>
          <w:szCs w:val="24"/>
        </w:rPr>
        <w:t>经营者集中简易案件公示表</w:t>
      </w:r>
    </w:p>
    <w:p w14:paraId="40432082" w14:textId="77777777" w:rsidR="00CB00DF" w:rsidRPr="004F4CCC" w:rsidRDefault="00CB00DF" w:rsidP="00460FB4">
      <w:pPr>
        <w:spacing w:line="276" w:lineRule="auto"/>
        <w:rPr>
          <w:rFonts w:ascii="Times New Roman" w:eastAsia="仿宋_GB2312"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588"/>
        <w:gridCol w:w="5361"/>
      </w:tblGrid>
      <w:tr w:rsidR="002F3D52" w:rsidRPr="004F4CCC" w14:paraId="0F3D6026" w14:textId="77777777" w:rsidTr="00540581">
        <w:tc>
          <w:tcPr>
            <w:tcW w:w="1809" w:type="dxa"/>
            <w:shd w:val="clear" w:color="auto" w:fill="D9D9D9"/>
            <w:vAlign w:val="center"/>
          </w:tcPr>
          <w:p w14:paraId="6A42F67D" w14:textId="77777777" w:rsidR="00CB00DF" w:rsidRPr="004F4CCC" w:rsidRDefault="00CB00DF" w:rsidP="00460FB4">
            <w:pPr>
              <w:spacing w:line="276" w:lineRule="auto"/>
              <w:jc w:val="center"/>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t>案件名称</w:t>
            </w:r>
          </w:p>
        </w:tc>
        <w:tc>
          <w:tcPr>
            <w:tcW w:w="6949" w:type="dxa"/>
            <w:gridSpan w:val="2"/>
            <w:vAlign w:val="center"/>
          </w:tcPr>
          <w:p w14:paraId="25F6FC64" w14:textId="265B5363" w:rsidR="00CB00DF" w:rsidRPr="004F4CCC" w:rsidRDefault="00DF5C1C" w:rsidP="00971EE1">
            <w:pPr>
              <w:spacing w:line="276" w:lineRule="auto"/>
              <w:rPr>
                <w:rFonts w:ascii="Times New Roman" w:eastAsia="仿宋_GB2312" w:hAnsi="Times New Roman"/>
                <w:kern w:val="0"/>
                <w:sz w:val="24"/>
                <w:szCs w:val="24"/>
                <w:bdr w:val="none" w:sz="0" w:space="0" w:color="auto" w:frame="1"/>
              </w:rPr>
            </w:pPr>
            <w:r w:rsidRPr="00DF5C1C">
              <w:rPr>
                <w:rFonts w:ascii="Times New Roman" w:eastAsia="仿宋" w:hAnsi="Times New Roman" w:hint="eastAsia"/>
                <w:kern w:val="0"/>
                <w:sz w:val="24"/>
                <w:szCs w:val="24"/>
              </w:rPr>
              <w:t>中国宝武钢铁集团有限公司</w:t>
            </w:r>
            <w:r>
              <w:rPr>
                <w:rFonts w:ascii="Times New Roman" w:eastAsia="仿宋" w:hAnsi="Times New Roman" w:hint="eastAsia"/>
                <w:kern w:val="0"/>
                <w:sz w:val="24"/>
                <w:szCs w:val="24"/>
              </w:rPr>
              <w:t>（“</w:t>
            </w:r>
            <w:r w:rsidRPr="00DF5C1C">
              <w:rPr>
                <w:rFonts w:ascii="Times New Roman" w:eastAsia="仿宋" w:hAnsi="Times New Roman" w:hint="eastAsia"/>
                <w:b/>
                <w:kern w:val="0"/>
                <w:sz w:val="24"/>
                <w:szCs w:val="24"/>
              </w:rPr>
              <w:t>宝武集团</w:t>
            </w:r>
            <w:r>
              <w:rPr>
                <w:rFonts w:ascii="Times New Roman" w:eastAsia="仿宋" w:hAnsi="Times New Roman" w:hint="eastAsia"/>
                <w:kern w:val="0"/>
                <w:sz w:val="24"/>
                <w:szCs w:val="24"/>
              </w:rPr>
              <w:t>”）</w:t>
            </w:r>
            <w:r w:rsidRPr="00DF5C1C">
              <w:rPr>
                <w:rFonts w:ascii="Times New Roman" w:eastAsia="仿宋" w:hAnsi="Times New Roman" w:hint="eastAsia"/>
                <w:kern w:val="0"/>
                <w:sz w:val="24"/>
                <w:szCs w:val="24"/>
              </w:rPr>
              <w:t>通过合同取得昆明钢铁控股有限公司</w:t>
            </w:r>
            <w:r>
              <w:rPr>
                <w:rFonts w:ascii="Times New Roman" w:eastAsia="仿宋" w:hAnsi="Times New Roman" w:hint="eastAsia"/>
                <w:kern w:val="0"/>
                <w:sz w:val="24"/>
                <w:szCs w:val="24"/>
              </w:rPr>
              <w:t>（“</w:t>
            </w:r>
            <w:r w:rsidRPr="00DF5C1C">
              <w:rPr>
                <w:rFonts w:ascii="Times New Roman" w:eastAsia="仿宋" w:hAnsi="Times New Roman" w:hint="eastAsia"/>
                <w:b/>
                <w:kern w:val="0"/>
                <w:sz w:val="24"/>
                <w:szCs w:val="24"/>
              </w:rPr>
              <w:t>昆钢控股</w:t>
            </w:r>
            <w:r>
              <w:rPr>
                <w:rFonts w:ascii="Times New Roman" w:eastAsia="仿宋" w:hAnsi="Times New Roman" w:hint="eastAsia"/>
                <w:kern w:val="0"/>
                <w:sz w:val="24"/>
                <w:szCs w:val="24"/>
              </w:rPr>
              <w:t>”）</w:t>
            </w:r>
            <w:r w:rsidRPr="00DF5C1C">
              <w:rPr>
                <w:rFonts w:ascii="Times New Roman" w:eastAsia="仿宋" w:hAnsi="Times New Roman" w:hint="eastAsia"/>
                <w:kern w:val="0"/>
                <w:sz w:val="24"/>
                <w:szCs w:val="24"/>
              </w:rPr>
              <w:t>的控制权案</w:t>
            </w:r>
            <w:r>
              <w:rPr>
                <w:rFonts w:ascii="Times New Roman" w:eastAsia="仿宋" w:hAnsi="Times New Roman" w:hint="eastAsia"/>
                <w:kern w:val="0"/>
                <w:sz w:val="24"/>
                <w:szCs w:val="24"/>
              </w:rPr>
              <w:t>（“</w:t>
            </w:r>
            <w:r w:rsidRPr="00DF5C1C">
              <w:rPr>
                <w:rFonts w:ascii="Times New Roman" w:eastAsia="仿宋" w:hAnsi="Times New Roman" w:hint="eastAsia"/>
                <w:b/>
                <w:kern w:val="0"/>
                <w:sz w:val="24"/>
                <w:szCs w:val="24"/>
              </w:rPr>
              <w:t>本次交易</w:t>
            </w:r>
            <w:r>
              <w:rPr>
                <w:rFonts w:ascii="Times New Roman" w:eastAsia="仿宋" w:hAnsi="Times New Roman" w:hint="eastAsia"/>
                <w:kern w:val="0"/>
                <w:sz w:val="24"/>
                <w:szCs w:val="24"/>
              </w:rPr>
              <w:t>”）</w:t>
            </w:r>
          </w:p>
        </w:tc>
      </w:tr>
      <w:tr w:rsidR="002F3D52" w:rsidRPr="004F4CCC" w14:paraId="00E6F6D2" w14:textId="77777777" w:rsidTr="00CB00DF">
        <w:trPr>
          <w:trHeight w:val="993"/>
        </w:trPr>
        <w:tc>
          <w:tcPr>
            <w:tcW w:w="1809" w:type="dxa"/>
            <w:shd w:val="clear" w:color="auto" w:fill="D9D9D9"/>
            <w:vAlign w:val="center"/>
          </w:tcPr>
          <w:p w14:paraId="409E40C9" w14:textId="77777777" w:rsidR="00F1624E" w:rsidRPr="004F4CCC" w:rsidRDefault="00CB00DF" w:rsidP="00460FB4">
            <w:pPr>
              <w:spacing w:line="276" w:lineRule="auto"/>
              <w:jc w:val="center"/>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t>交易概况</w:t>
            </w:r>
          </w:p>
          <w:p w14:paraId="12283497" w14:textId="77777777" w:rsidR="00CB00DF" w:rsidRPr="004F4CCC" w:rsidRDefault="00CB00DF" w:rsidP="00460FB4">
            <w:pPr>
              <w:spacing w:line="276" w:lineRule="auto"/>
              <w:jc w:val="center"/>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t>（限</w:t>
            </w:r>
            <w:r w:rsidRPr="004F4CCC">
              <w:rPr>
                <w:rFonts w:ascii="Times New Roman" w:eastAsia="仿宋_GB2312" w:hAnsi="Times New Roman"/>
                <w:kern w:val="0"/>
                <w:sz w:val="24"/>
                <w:szCs w:val="24"/>
                <w:bdr w:val="none" w:sz="0" w:space="0" w:color="auto" w:frame="1"/>
              </w:rPr>
              <w:t>200</w:t>
            </w:r>
            <w:r w:rsidRPr="004F4CCC">
              <w:rPr>
                <w:rFonts w:ascii="Times New Roman" w:eastAsia="仿宋_GB2312" w:hAnsi="Times New Roman"/>
                <w:kern w:val="0"/>
                <w:sz w:val="24"/>
                <w:szCs w:val="24"/>
                <w:bdr w:val="none" w:sz="0" w:space="0" w:color="auto" w:frame="1"/>
              </w:rPr>
              <w:t>字内）</w:t>
            </w:r>
          </w:p>
        </w:tc>
        <w:tc>
          <w:tcPr>
            <w:tcW w:w="6949" w:type="dxa"/>
            <w:gridSpan w:val="2"/>
          </w:tcPr>
          <w:p w14:paraId="3E7E80EA" w14:textId="4F6FBC3D" w:rsidR="005B2187" w:rsidRDefault="005B2187" w:rsidP="00DF5C1C">
            <w:pPr>
              <w:spacing w:line="276" w:lineRule="auto"/>
              <w:rPr>
                <w:rFonts w:ascii="Times New Roman" w:eastAsia="仿宋_GB2312" w:hAnsi="Times New Roman"/>
                <w:sz w:val="24"/>
                <w:szCs w:val="24"/>
              </w:rPr>
            </w:pPr>
            <w:r w:rsidRPr="005B2187">
              <w:rPr>
                <w:rFonts w:ascii="Times New Roman" w:eastAsia="仿宋_GB2312" w:hAnsi="Times New Roman" w:hint="eastAsia"/>
                <w:sz w:val="24"/>
                <w:szCs w:val="24"/>
              </w:rPr>
              <w:t>本次交易前，</w:t>
            </w:r>
            <w:r w:rsidR="001F758A" w:rsidRPr="00DF5C1C">
              <w:rPr>
                <w:rFonts w:ascii="Times New Roman" w:eastAsia="仿宋_GB2312" w:hAnsi="Times New Roman" w:hint="eastAsia"/>
                <w:sz w:val="24"/>
                <w:szCs w:val="24"/>
              </w:rPr>
              <w:t>云南省人民政府国有资产监督管理委员会</w:t>
            </w:r>
            <w:r w:rsidRPr="005B2187">
              <w:rPr>
                <w:rFonts w:ascii="Times New Roman" w:eastAsia="仿宋_GB2312" w:hAnsi="Times New Roman" w:hint="eastAsia"/>
                <w:sz w:val="24"/>
                <w:szCs w:val="24"/>
              </w:rPr>
              <w:t>、云南省财政厅、</w:t>
            </w:r>
            <w:r w:rsidR="001F758A" w:rsidRPr="001F758A">
              <w:rPr>
                <w:rFonts w:ascii="Times New Roman" w:eastAsia="仿宋_GB2312" w:hAnsi="Times New Roman" w:hint="eastAsia"/>
                <w:sz w:val="24"/>
                <w:szCs w:val="24"/>
              </w:rPr>
              <w:t>昆明和泽投资中心</w:t>
            </w:r>
            <w:r w:rsidRPr="005B2187">
              <w:rPr>
                <w:rFonts w:ascii="Times New Roman" w:eastAsia="仿宋_GB2312" w:hAnsi="Times New Roman" w:hint="eastAsia"/>
                <w:sz w:val="24"/>
                <w:szCs w:val="24"/>
              </w:rPr>
              <w:t>分别持有昆钢控股</w:t>
            </w:r>
            <w:r w:rsidRPr="005B2187">
              <w:rPr>
                <w:rFonts w:ascii="Times New Roman" w:eastAsia="仿宋_GB2312" w:hAnsi="Times New Roman" w:hint="eastAsia"/>
                <w:sz w:val="24"/>
                <w:szCs w:val="24"/>
              </w:rPr>
              <w:t>76.46%</w:t>
            </w:r>
            <w:r w:rsidRPr="005B2187">
              <w:rPr>
                <w:rFonts w:ascii="Times New Roman" w:eastAsia="仿宋_GB2312" w:hAnsi="Times New Roman" w:hint="eastAsia"/>
                <w:sz w:val="24"/>
                <w:szCs w:val="24"/>
              </w:rPr>
              <w:t>、</w:t>
            </w:r>
            <w:r w:rsidRPr="005B2187">
              <w:rPr>
                <w:rFonts w:ascii="Times New Roman" w:eastAsia="仿宋_GB2312" w:hAnsi="Times New Roman" w:hint="eastAsia"/>
                <w:sz w:val="24"/>
                <w:szCs w:val="24"/>
              </w:rPr>
              <w:t>8.50%</w:t>
            </w:r>
            <w:r w:rsidRPr="005B2187">
              <w:rPr>
                <w:rFonts w:ascii="Times New Roman" w:eastAsia="仿宋_GB2312" w:hAnsi="Times New Roman" w:hint="eastAsia"/>
                <w:sz w:val="24"/>
                <w:szCs w:val="24"/>
              </w:rPr>
              <w:t>、</w:t>
            </w:r>
            <w:r w:rsidRPr="005B2187">
              <w:rPr>
                <w:rFonts w:ascii="Times New Roman" w:eastAsia="仿宋_GB2312" w:hAnsi="Times New Roman" w:hint="eastAsia"/>
                <w:sz w:val="24"/>
                <w:szCs w:val="24"/>
              </w:rPr>
              <w:t>15.04%</w:t>
            </w:r>
            <w:r w:rsidRPr="005B2187">
              <w:rPr>
                <w:rFonts w:ascii="Times New Roman" w:eastAsia="仿宋_GB2312" w:hAnsi="Times New Roman" w:hint="eastAsia"/>
                <w:sz w:val="24"/>
                <w:szCs w:val="24"/>
              </w:rPr>
              <w:t>的股权，</w:t>
            </w:r>
            <w:r w:rsidR="00C25574" w:rsidRPr="00984E9B">
              <w:rPr>
                <w:rFonts w:ascii="Times New Roman" w:eastAsia="仿宋_GB2312" w:hAnsi="Times New Roman" w:hint="eastAsia"/>
                <w:sz w:val="24"/>
                <w:szCs w:val="24"/>
              </w:rPr>
              <w:t>昆钢控股被云南省国资委单独控制</w:t>
            </w:r>
            <w:r w:rsidR="00C25574">
              <w:rPr>
                <w:rFonts w:ascii="Times New Roman" w:eastAsia="仿宋_GB2312" w:hAnsi="Times New Roman" w:hint="eastAsia"/>
                <w:sz w:val="24"/>
                <w:szCs w:val="24"/>
              </w:rPr>
              <w:t>。</w:t>
            </w:r>
            <w:r w:rsidRPr="005B2187">
              <w:rPr>
                <w:rFonts w:ascii="Times New Roman" w:eastAsia="仿宋_GB2312" w:hAnsi="Times New Roman" w:hint="eastAsia"/>
                <w:sz w:val="24"/>
                <w:szCs w:val="24"/>
              </w:rPr>
              <w:t>宝武集团未持有昆钢控股股权或其他形式的控制权。</w:t>
            </w:r>
          </w:p>
          <w:p w14:paraId="31B95CA5" w14:textId="77777777" w:rsidR="005B2187" w:rsidRDefault="005B2187" w:rsidP="00DF5C1C">
            <w:pPr>
              <w:spacing w:line="276" w:lineRule="auto"/>
              <w:rPr>
                <w:rFonts w:ascii="Times New Roman" w:eastAsia="仿宋_GB2312" w:hAnsi="Times New Roman"/>
                <w:sz w:val="24"/>
                <w:szCs w:val="24"/>
              </w:rPr>
            </w:pPr>
          </w:p>
          <w:p w14:paraId="192022E2" w14:textId="4C67C42B" w:rsidR="00CB00DF" w:rsidRPr="004F4CCC" w:rsidRDefault="005B2187" w:rsidP="00DF5C1C">
            <w:pPr>
              <w:spacing w:line="276" w:lineRule="auto"/>
              <w:rPr>
                <w:rFonts w:ascii="Times New Roman" w:eastAsia="仿宋_GB2312" w:hAnsi="Times New Roman"/>
                <w:sz w:val="24"/>
                <w:szCs w:val="24"/>
              </w:rPr>
            </w:pPr>
            <w:r>
              <w:rPr>
                <w:rFonts w:ascii="Times New Roman" w:eastAsia="仿宋_GB2312" w:hAnsi="Times New Roman" w:hint="eastAsia"/>
                <w:sz w:val="24"/>
                <w:szCs w:val="24"/>
              </w:rPr>
              <w:t>本次交易涉及</w:t>
            </w:r>
            <w:r w:rsidR="00DF5C1C" w:rsidRPr="00DF5C1C">
              <w:rPr>
                <w:rFonts w:ascii="Times New Roman" w:eastAsia="仿宋_GB2312" w:hAnsi="Times New Roman" w:hint="eastAsia"/>
                <w:sz w:val="24"/>
                <w:szCs w:val="24"/>
              </w:rPr>
              <w:t>云南省人民政府国有资产监督管理委员会与宝武集团签署关于昆钢控股的委托管理协议。</w:t>
            </w:r>
            <w:r w:rsidR="00DF5C1C">
              <w:rPr>
                <w:rFonts w:ascii="Times New Roman" w:eastAsia="仿宋_GB2312" w:hAnsi="Times New Roman" w:hint="eastAsia"/>
                <w:sz w:val="24"/>
                <w:szCs w:val="24"/>
              </w:rPr>
              <w:t>在协议</w:t>
            </w:r>
            <w:r w:rsidR="001B0F90">
              <w:rPr>
                <w:rFonts w:ascii="Times New Roman" w:eastAsia="仿宋_GB2312" w:hAnsi="Times New Roman" w:hint="eastAsia"/>
                <w:sz w:val="24"/>
                <w:szCs w:val="24"/>
              </w:rPr>
              <w:t>生效后，宝武集团将受托代为管理昆钢控股，并在相关</w:t>
            </w:r>
            <w:r w:rsidR="00DF5C1C">
              <w:rPr>
                <w:rFonts w:ascii="Times New Roman" w:eastAsia="仿宋_GB2312" w:hAnsi="Times New Roman" w:hint="eastAsia"/>
                <w:sz w:val="24"/>
                <w:szCs w:val="24"/>
              </w:rPr>
              <w:t>审批</w:t>
            </w:r>
            <w:r w:rsidR="00DF5C1C" w:rsidRPr="00DF5C1C">
              <w:rPr>
                <w:rFonts w:ascii="Times New Roman" w:eastAsia="仿宋_GB2312" w:hAnsi="Times New Roman" w:hint="eastAsia"/>
                <w:sz w:val="24"/>
                <w:szCs w:val="24"/>
              </w:rPr>
              <w:t>通过后具体实施相关管理行为</w:t>
            </w:r>
            <w:r w:rsidR="00C25574">
              <w:rPr>
                <w:rFonts w:ascii="Times New Roman" w:eastAsia="仿宋_GB2312" w:hAnsi="Times New Roman" w:hint="eastAsia"/>
                <w:sz w:val="24"/>
                <w:szCs w:val="24"/>
              </w:rPr>
              <w:t>，</w:t>
            </w:r>
            <w:bookmarkStart w:id="0" w:name="_GoBack"/>
            <w:r w:rsidR="00C25574" w:rsidRPr="00984E9B">
              <w:rPr>
                <w:rFonts w:ascii="Times New Roman" w:eastAsia="仿宋_GB2312" w:hAnsi="Times New Roman" w:hint="eastAsia"/>
                <w:sz w:val="24"/>
                <w:szCs w:val="24"/>
              </w:rPr>
              <w:t>宝武集团将单独控制昆钢控股</w:t>
            </w:r>
            <w:r w:rsidR="00DF5C1C" w:rsidRPr="00DF5C1C">
              <w:rPr>
                <w:rFonts w:ascii="Times New Roman" w:eastAsia="仿宋_GB2312" w:hAnsi="Times New Roman" w:hint="eastAsia"/>
                <w:sz w:val="24"/>
                <w:szCs w:val="24"/>
              </w:rPr>
              <w:t>。</w:t>
            </w:r>
            <w:bookmarkEnd w:id="0"/>
          </w:p>
        </w:tc>
      </w:tr>
      <w:tr w:rsidR="005B2187" w:rsidRPr="005B2187" w14:paraId="4EBD3A42" w14:textId="77777777" w:rsidTr="00460FB4">
        <w:trPr>
          <w:trHeight w:val="468"/>
        </w:trPr>
        <w:tc>
          <w:tcPr>
            <w:tcW w:w="1809" w:type="dxa"/>
            <w:vMerge w:val="restart"/>
            <w:shd w:val="clear" w:color="auto" w:fill="D9D9D9"/>
            <w:vAlign w:val="center"/>
          </w:tcPr>
          <w:p w14:paraId="37978B0A"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t>参与集中的</w:t>
            </w:r>
          </w:p>
          <w:p w14:paraId="4BBDD3AD"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t>经营者简介</w:t>
            </w:r>
          </w:p>
        </w:tc>
        <w:tc>
          <w:tcPr>
            <w:tcW w:w="1588" w:type="dxa"/>
            <w:vAlign w:val="center"/>
          </w:tcPr>
          <w:p w14:paraId="4C6E7F5F" w14:textId="7305D6F1" w:rsidR="005B2187" w:rsidRPr="004F4CCC" w:rsidRDefault="005B2187" w:rsidP="005B2187">
            <w:pPr>
              <w:spacing w:line="276" w:lineRule="auto"/>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t>1</w:t>
            </w:r>
            <w:r w:rsidRPr="004F4CCC">
              <w:rPr>
                <w:rFonts w:ascii="Times New Roman" w:eastAsia="仿宋_GB2312" w:hAnsi="Times New Roman"/>
                <w:kern w:val="0"/>
                <w:sz w:val="24"/>
                <w:szCs w:val="24"/>
                <w:bdr w:val="none" w:sz="0" w:space="0" w:color="auto" w:frame="1"/>
              </w:rPr>
              <w:t>、</w:t>
            </w:r>
            <w:r w:rsidRPr="00DF5C1C">
              <w:rPr>
                <w:rFonts w:ascii="Times New Roman" w:eastAsia="仿宋" w:hAnsi="Times New Roman" w:hint="eastAsia"/>
                <w:kern w:val="0"/>
                <w:sz w:val="24"/>
                <w:szCs w:val="24"/>
              </w:rPr>
              <w:t>宝武集团</w:t>
            </w:r>
          </w:p>
        </w:tc>
        <w:tc>
          <w:tcPr>
            <w:tcW w:w="5361" w:type="dxa"/>
            <w:vAlign w:val="center"/>
          </w:tcPr>
          <w:p w14:paraId="46192C17" w14:textId="71A414F0" w:rsidR="005B2187" w:rsidRPr="005B2187" w:rsidRDefault="005B2187" w:rsidP="005B2187">
            <w:pPr>
              <w:spacing w:line="276" w:lineRule="auto"/>
              <w:rPr>
                <w:rFonts w:ascii="Times New Roman" w:eastAsia="仿宋_GB2312" w:hAnsi="Times New Roman"/>
                <w:sz w:val="24"/>
                <w:szCs w:val="24"/>
              </w:rPr>
            </w:pPr>
            <w:r w:rsidRPr="005B2187">
              <w:rPr>
                <w:rFonts w:ascii="Times New Roman" w:eastAsia="仿宋_GB2312" w:hAnsi="Times New Roman"/>
                <w:sz w:val="24"/>
                <w:szCs w:val="24"/>
              </w:rPr>
              <w:t>宝武集团于</w:t>
            </w:r>
            <w:r w:rsidRPr="005B2187">
              <w:rPr>
                <w:rFonts w:ascii="Times New Roman" w:eastAsia="仿宋_GB2312" w:hAnsi="Times New Roman"/>
                <w:sz w:val="24"/>
                <w:szCs w:val="24"/>
              </w:rPr>
              <w:t>1992</w:t>
            </w:r>
            <w:r w:rsidRPr="005B2187">
              <w:rPr>
                <w:rFonts w:ascii="Times New Roman" w:eastAsia="仿宋_GB2312" w:hAnsi="Times New Roman"/>
                <w:sz w:val="24"/>
                <w:szCs w:val="24"/>
              </w:rPr>
              <w:t>年在上海成立，</w:t>
            </w:r>
            <w:r w:rsidRPr="005B2187">
              <w:rPr>
                <w:rFonts w:ascii="Times New Roman" w:eastAsia="仿宋_GB2312" w:hAnsi="Times New Roman" w:hint="eastAsia"/>
                <w:sz w:val="24"/>
                <w:szCs w:val="24"/>
              </w:rPr>
              <w:t>主要在全球范围内供应碳钢和不锈钢两大系列产品，并在中国境内拥有钢铁制造业、新材料产业、智慧服务业、资源环境业、产业园区业、产业金融业等六大业务板块。</w:t>
            </w:r>
          </w:p>
        </w:tc>
      </w:tr>
      <w:tr w:rsidR="005B2187" w:rsidRPr="004F4CCC" w14:paraId="13DE1867" w14:textId="77777777" w:rsidTr="00460FB4">
        <w:trPr>
          <w:trHeight w:val="404"/>
        </w:trPr>
        <w:tc>
          <w:tcPr>
            <w:tcW w:w="1809" w:type="dxa"/>
            <w:vMerge/>
            <w:shd w:val="clear" w:color="auto" w:fill="D9D9D9"/>
            <w:vAlign w:val="center"/>
          </w:tcPr>
          <w:p w14:paraId="4C70CFE4"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p>
        </w:tc>
        <w:tc>
          <w:tcPr>
            <w:tcW w:w="1588" w:type="dxa"/>
            <w:vAlign w:val="center"/>
          </w:tcPr>
          <w:p w14:paraId="1EE43678" w14:textId="48F7BDEE" w:rsidR="005B2187" w:rsidRPr="004F4CCC" w:rsidRDefault="005B2187" w:rsidP="005B2187">
            <w:pPr>
              <w:spacing w:line="276" w:lineRule="auto"/>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t>2</w:t>
            </w:r>
            <w:r w:rsidRPr="004F4CCC">
              <w:rPr>
                <w:rFonts w:ascii="Times New Roman" w:eastAsia="仿宋_GB2312" w:hAnsi="Times New Roman"/>
                <w:kern w:val="0"/>
                <w:sz w:val="24"/>
                <w:szCs w:val="24"/>
                <w:bdr w:val="none" w:sz="0" w:space="0" w:color="auto" w:frame="1"/>
              </w:rPr>
              <w:t>、</w:t>
            </w:r>
            <w:r>
              <w:rPr>
                <w:rFonts w:ascii="Times New Roman" w:eastAsia="仿宋_GB2312" w:hAnsi="Times New Roman" w:hint="eastAsia"/>
                <w:sz w:val="24"/>
                <w:szCs w:val="24"/>
              </w:rPr>
              <w:t>昆钢控股</w:t>
            </w:r>
          </w:p>
        </w:tc>
        <w:tc>
          <w:tcPr>
            <w:tcW w:w="5361" w:type="dxa"/>
            <w:vAlign w:val="center"/>
          </w:tcPr>
          <w:p w14:paraId="6D4BE6B1" w14:textId="31BD1C01" w:rsidR="005B2187" w:rsidRPr="004F4CCC" w:rsidRDefault="005B2187" w:rsidP="001B0F90">
            <w:pPr>
              <w:spacing w:line="276" w:lineRule="auto"/>
              <w:rPr>
                <w:rFonts w:ascii="Times New Roman" w:eastAsia="仿宋_GB2312" w:hAnsi="Times New Roman"/>
                <w:kern w:val="0"/>
                <w:sz w:val="24"/>
                <w:szCs w:val="24"/>
                <w:bdr w:val="none" w:sz="0" w:space="0" w:color="auto" w:frame="1"/>
              </w:rPr>
            </w:pPr>
            <w:r w:rsidRPr="005B2187">
              <w:rPr>
                <w:rFonts w:ascii="Times New Roman" w:eastAsia="仿宋_GB2312" w:hAnsi="Times New Roman" w:hint="eastAsia"/>
                <w:kern w:val="0"/>
                <w:sz w:val="24"/>
                <w:szCs w:val="24"/>
                <w:bdr w:val="none" w:sz="0" w:space="0" w:color="auto" w:frame="1"/>
              </w:rPr>
              <w:t>昆钢控股始建于</w:t>
            </w:r>
            <w:r w:rsidRPr="005B2187">
              <w:rPr>
                <w:rFonts w:ascii="Times New Roman" w:eastAsia="仿宋_GB2312" w:hAnsi="Times New Roman" w:hint="eastAsia"/>
                <w:kern w:val="0"/>
                <w:sz w:val="24"/>
                <w:szCs w:val="24"/>
                <w:bdr w:val="none" w:sz="0" w:space="0" w:color="auto" w:frame="1"/>
              </w:rPr>
              <w:t>1939</w:t>
            </w:r>
            <w:r w:rsidRPr="005B2187">
              <w:rPr>
                <w:rFonts w:ascii="Times New Roman" w:eastAsia="仿宋_GB2312" w:hAnsi="Times New Roman" w:hint="eastAsia"/>
                <w:kern w:val="0"/>
                <w:sz w:val="24"/>
                <w:szCs w:val="24"/>
                <w:bdr w:val="none" w:sz="0" w:space="0" w:color="auto" w:frame="1"/>
              </w:rPr>
              <w:t>年，是一家具有</w:t>
            </w:r>
            <w:r w:rsidRPr="005B2187">
              <w:rPr>
                <w:rFonts w:ascii="Times New Roman" w:eastAsia="仿宋_GB2312" w:hAnsi="Times New Roman" w:hint="eastAsia"/>
                <w:kern w:val="0"/>
                <w:sz w:val="24"/>
                <w:szCs w:val="24"/>
                <w:bdr w:val="none" w:sz="0" w:space="0" w:color="auto" w:frame="1"/>
              </w:rPr>
              <w:t>80</w:t>
            </w:r>
            <w:r w:rsidRPr="005B2187">
              <w:rPr>
                <w:rFonts w:ascii="Times New Roman" w:eastAsia="仿宋_GB2312" w:hAnsi="Times New Roman" w:hint="eastAsia"/>
                <w:kern w:val="0"/>
                <w:sz w:val="24"/>
                <w:szCs w:val="24"/>
                <w:bdr w:val="none" w:sz="0" w:space="0" w:color="auto" w:frame="1"/>
              </w:rPr>
              <w:t>年历史的综合性钢铁制造企业，其业务包括钢铁冶金、现代物流、矿业开发、煤焦化工、水泥建材、节能环保、新材料等。</w:t>
            </w:r>
          </w:p>
        </w:tc>
      </w:tr>
      <w:tr w:rsidR="005B2187" w:rsidRPr="004F4CCC" w14:paraId="27426B04" w14:textId="77777777" w:rsidTr="00540581">
        <w:trPr>
          <w:trHeight w:val="279"/>
        </w:trPr>
        <w:tc>
          <w:tcPr>
            <w:tcW w:w="1809" w:type="dxa"/>
            <w:vMerge w:val="restart"/>
            <w:shd w:val="clear" w:color="auto" w:fill="D9D9D9"/>
            <w:vAlign w:val="center"/>
          </w:tcPr>
          <w:p w14:paraId="45181AEF"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t>简易案件理由（可以单选，也可以多选）</w:t>
            </w:r>
          </w:p>
        </w:tc>
        <w:tc>
          <w:tcPr>
            <w:tcW w:w="6949" w:type="dxa"/>
            <w:gridSpan w:val="2"/>
            <w:vAlign w:val="center"/>
          </w:tcPr>
          <w:p w14:paraId="48CE23DB" w14:textId="77777777" w:rsidR="005B2187" w:rsidRPr="004F4CCC" w:rsidRDefault="005B2187" w:rsidP="005B2187">
            <w:pPr>
              <w:spacing w:line="276" w:lineRule="auto"/>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sym w:font="Wingdings" w:char="F0FE"/>
            </w:r>
            <w:r w:rsidRPr="004F4CCC">
              <w:rPr>
                <w:rFonts w:ascii="Times New Roman" w:eastAsia="仿宋_GB2312" w:hAnsi="Times New Roman"/>
                <w:kern w:val="0"/>
                <w:sz w:val="24"/>
                <w:szCs w:val="24"/>
                <w:bdr w:val="none" w:sz="0" w:space="0" w:color="auto" w:frame="1"/>
              </w:rPr>
              <w:t xml:space="preserve"> 1.</w:t>
            </w:r>
            <w:r w:rsidRPr="004F4CCC">
              <w:rPr>
                <w:rFonts w:ascii="Times New Roman" w:eastAsia="仿宋_GB2312" w:hAnsi="Times New Roman"/>
                <w:kern w:val="0"/>
                <w:sz w:val="24"/>
                <w:szCs w:val="24"/>
                <w:bdr w:val="none" w:sz="0" w:space="0" w:color="auto" w:frame="1"/>
              </w:rPr>
              <w:t>在同一相关市场，所有参与集中的经营者所占市场份额之和小于</w:t>
            </w:r>
            <w:r w:rsidRPr="004F4CCC">
              <w:rPr>
                <w:rFonts w:ascii="Times New Roman" w:eastAsia="仿宋_GB2312" w:hAnsi="Times New Roman"/>
                <w:kern w:val="0"/>
                <w:sz w:val="24"/>
                <w:szCs w:val="24"/>
                <w:bdr w:val="none" w:sz="0" w:space="0" w:color="auto" w:frame="1"/>
              </w:rPr>
              <w:t>15%</w:t>
            </w:r>
            <w:r w:rsidRPr="004F4CCC">
              <w:rPr>
                <w:rFonts w:ascii="Times New Roman" w:eastAsia="仿宋_GB2312" w:hAnsi="Times New Roman"/>
                <w:kern w:val="0"/>
                <w:sz w:val="24"/>
                <w:szCs w:val="24"/>
                <w:bdr w:val="none" w:sz="0" w:space="0" w:color="auto" w:frame="1"/>
              </w:rPr>
              <w:t>。</w:t>
            </w:r>
          </w:p>
        </w:tc>
      </w:tr>
      <w:tr w:rsidR="005B2187" w:rsidRPr="004F4CCC" w14:paraId="54B2DEE9" w14:textId="77777777" w:rsidTr="00540581">
        <w:trPr>
          <w:trHeight w:val="330"/>
        </w:trPr>
        <w:tc>
          <w:tcPr>
            <w:tcW w:w="1809" w:type="dxa"/>
            <w:vMerge/>
            <w:shd w:val="clear" w:color="auto" w:fill="D9D9D9"/>
            <w:vAlign w:val="center"/>
          </w:tcPr>
          <w:p w14:paraId="3A1045DB"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p>
        </w:tc>
        <w:tc>
          <w:tcPr>
            <w:tcW w:w="6949" w:type="dxa"/>
            <w:gridSpan w:val="2"/>
            <w:vAlign w:val="center"/>
          </w:tcPr>
          <w:p w14:paraId="1D54AE63" w14:textId="3B85C9EA" w:rsidR="005B2187" w:rsidRPr="004F4CCC" w:rsidRDefault="005B2187" w:rsidP="005B2187">
            <w:pPr>
              <w:spacing w:line="276" w:lineRule="auto"/>
              <w:rPr>
                <w:rFonts w:ascii="Times New Roman" w:eastAsia="仿宋_GB2312" w:hAnsi="Times New Roman"/>
                <w:kern w:val="0"/>
                <w:sz w:val="24"/>
                <w:szCs w:val="24"/>
                <w:bdr w:val="none" w:sz="0" w:space="0" w:color="auto" w:frame="1"/>
              </w:rPr>
            </w:pPr>
            <w:r>
              <w:rPr>
                <w:rFonts w:ascii="Times New Roman" w:eastAsia="仿宋_GB2312" w:hAnsi="Times New Roman"/>
                <w:kern w:val="0"/>
                <w:sz w:val="24"/>
                <w:szCs w:val="24"/>
                <w:bdr w:val="none" w:sz="0" w:space="0" w:color="auto" w:frame="1"/>
              </w:rPr>
              <w:sym w:font="Wingdings" w:char="F0FE"/>
            </w:r>
            <w:r w:rsidRPr="004F4CCC">
              <w:rPr>
                <w:rFonts w:ascii="Times New Roman" w:eastAsia="仿宋_GB2312" w:hAnsi="Times New Roman"/>
                <w:kern w:val="0"/>
                <w:sz w:val="24"/>
                <w:szCs w:val="24"/>
                <w:bdr w:val="none" w:sz="0" w:space="0" w:color="auto" w:frame="1"/>
              </w:rPr>
              <w:t xml:space="preserve"> 2.</w:t>
            </w:r>
            <w:r w:rsidRPr="004F4CCC">
              <w:rPr>
                <w:rFonts w:ascii="Times New Roman" w:eastAsia="仿宋_GB2312" w:hAnsi="Times New Roman"/>
                <w:kern w:val="0"/>
                <w:sz w:val="24"/>
                <w:szCs w:val="24"/>
                <w:bdr w:val="none" w:sz="0" w:space="0" w:color="auto" w:frame="1"/>
              </w:rPr>
              <w:t>存在上下游关系的参与集中的经营者，在上下游市场所占的市场份额均小于</w:t>
            </w:r>
            <w:r w:rsidRPr="004F4CCC">
              <w:rPr>
                <w:rFonts w:ascii="Times New Roman" w:eastAsia="仿宋_GB2312" w:hAnsi="Times New Roman"/>
                <w:kern w:val="0"/>
                <w:sz w:val="24"/>
                <w:szCs w:val="24"/>
                <w:bdr w:val="none" w:sz="0" w:space="0" w:color="auto" w:frame="1"/>
              </w:rPr>
              <w:t>25%</w:t>
            </w:r>
            <w:r w:rsidRPr="004F4CCC">
              <w:rPr>
                <w:rFonts w:ascii="Times New Roman" w:eastAsia="仿宋_GB2312" w:hAnsi="Times New Roman"/>
                <w:kern w:val="0"/>
                <w:sz w:val="24"/>
                <w:szCs w:val="24"/>
                <w:bdr w:val="none" w:sz="0" w:space="0" w:color="auto" w:frame="1"/>
              </w:rPr>
              <w:t>。</w:t>
            </w:r>
          </w:p>
        </w:tc>
      </w:tr>
      <w:tr w:rsidR="005B2187" w:rsidRPr="004F4CCC" w14:paraId="2291D60C" w14:textId="77777777" w:rsidTr="00540581">
        <w:trPr>
          <w:trHeight w:val="285"/>
        </w:trPr>
        <w:tc>
          <w:tcPr>
            <w:tcW w:w="1809" w:type="dxa"/>
            <w:vMerge/>
            <w:shd w:val="clear" w:color="auto" w:fill="D9D9D9"/>
            <w:vAlign w:val="center"/>
          </w:tcPr>
          <w:p w14:paraId="6D1E6D67"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p>
        </w:tc>
        <w:tc>
          <w:tcPr>
            <w:tcW w:w="6949" w:type="dxa"/>
            <w:gridSpan w:val="2"/>
            <w:vAlign w:val="center"/>
          </w:tcPr>
          <w:p w14:paraId="435803AD" w14:textId="77777777" w:rsidR="005B2187" w:rsidRPr="004F4CCC" w:rsidRDefault="005B2187" w:rsidP="005B2187">
            <w:pPr>
              <w:spacing w:line="276" w:lineRule="auto"/>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sym w:font="Wingdings" w:char="F0A8"/>
            </w:r>
            <w:r w:rsidRPr="004F4CCC">
              <w:rPr>
                <w:rFonts w:ascii="Times New Roman" w:eastAsia="仿宋_GB2312" w:hAnsi="Times New Roman"/>
                <w:kern w:val="0"/>
                <w:sz w:val="24"/>
                <w:szCs w:val="24"/>
                <w:bdr w:val="none" w:sz="0" w:space="0" w:color="auto" w:frame="1"/>
              </w:rPr>
              <w:t xml:space="preserve"> 3.</w:t>
            </w:r>
            <w:r w:rsidRPr="004F4CCC">
              <w:rPr>
                <w:rFonts w:ascii="Times New Roman" w:eastAsia="仿宋_GB2312" w:hAnsi="Times New Roman"/>
                <w:kern w:val="0"/>
                <w:sz w:val="24"/>
                <w:szCs w:val="24"/>
                <w:bdr w:val="none" w:sz="0" w:space="0" w:color="auto" w:frame="1"/>
              </w:rPr>
              <w:t>不在同一相关市场、也不存在上下游关系的参与集中的经营者，在与交易有关的每个市场所占的份额均小于</w:t>
            </w:r>
            <w:r w:rsidRPr="004F4CCC">
              <w:rPr>
                <w:rFonts w:ascii="Times New Roman" w:eastAsia="仿宋_GB2312" w:hAnsi="Times New Roman"/>
                <w:kern w:val="0"/>
                <w:sz w:val="24"/>
                <w:szCs w:val="24"/>
                <w:bdr w:val="none" w:sz="0" w:space="0" w:color="auto" w:frame="1"/>
              </w:rPr>
              <w:t>25%</w:t>
            </w:r>
            <w:r w:rsidRPr="004F4CCC">
              <w:rPr>
                <w:rFonts w:ascii="Times New Roman" w:eastAsia="仿宋_GB2312" w:hAnsi="Times New Roman"/>
                <w:kern w:val="0"/>
                <w:sz w:val="24"/>
                <w:szCs w:val="24"/>
                <w:bdr w:val="none" w:sz="0" w:space="0" w:color="auto" w:frame="1"/>
              </w:rPr>
              <w:t>。</w:t>
            </w:r>
          </w:p>
        </w:tc>
      </w:tr>
      <w:tr w:rsidR="005B2187" w:rsidRPr="004F4CCC" w14:paraId="1FE01B5C" w14:textId="77777777" w:rsidTr="00540581">
        <w:trPr>
          <w:trHeight w:val="870"/>
        </w:trPr>
        <w:tc>
          <w:tcPr>
            <w:tcW w:w="1809" w:type="dxa"/>
            <w:vMerge/>
            <w:shd w:val="clear" w:color="auto" w:fill="D9D9D9"/>
            <w:vAlign w:val="center"/>
          </w:tcPr>
          <w:p w14:paraId="4FCD47CD"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p>
        </w:tc>
        <w:tc>
          <w:tcPr>
            <w:tcW w:w="6949" w:type="dxa"/>
            <w:gridSpan w:val="2"/>
            <w:vAlign w:val="center"/>
          </w:tcPr>
          <w:p w14:paraId="11485B38" w14:textId="77777777" w:rsidR="005B2187" w:rsidRPr="004F4CCC" w:rsidRDefault="005B2187" w:rsidP="005B2187">
            <w:pPr>
              <w:spacing w:line="276" w:lineRule="auto"/>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sym w:font="Wingdings" w:char="F0A8"/>
            </w:r>
            <w:r w:rsidRPr="004F4CCC">
              <w:rPr>
                <w:rFonts w:ascii="Times New Roman" w:eastAsia="仿宋_GB2312" w:hAnsi="Times New Roman"/>
                <w:kern w:val="0"/>
                <w:sz w:val="24"/>
                <w:szCs w:val="24"/>
                <w:bdr w:val="none" w:sz="0" w:space="0" w:color="auto" w:frame="1"/>
              </w:rPr>
              <w:t xml:space="preserve"> 4.</w:t>
            </w:r>
            <w:r w:rsidRPr="004F4CCC">
              <w:rPr>
                <w:rFonts w:ascii="Times New Roman" w:eastAsia="仿宋_GB2312" w:hAnsi="Times New Roman"/>
                <w:kern w:val="0"/>
                <w:sz w:val="24"/>
                <w:szCs w:val="24"/>
                <w:bdr w:val="none" w:sz="0" w:space="0" w:color="auto" w:frame="1"/>
              </w:rPr>
              <w:t>参与集中的经营者在中国境外设立合营企业，合营企业不在中国境内从事经济活动。</w:t>
            </w:r>
          </w:p>
        </w:tc>
      </w:tr>
      <w:tr w:rsidR="005B2187" w:rsidRPr="004F4CCC" w14:paraId="725C1EAD" w14:textId="77777777" w:rsidTr="00540581">
        <w:trPr>
          <w:trHeight w:val="264"/>
        </w:trPr>
        <w:tc>
          <w:tcPr>
            <w:tcW w:w="1809" w:type="dxa"/>
            <w:vMerge/>
            <w:shd w:val="clear" w:color="auto" w:fill="D9D9D9"/>
            <w:vAlign w:val="center"/>
          </w:tcPr>
          <w:p w14:paraId="73864BBF"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p>
        </w:tc>
        <w:tc>
          <w:tcPr>
            <w:tcW w:w="6949" w:type="dxa"/>
            <w:gridSpan w:val="2"/>
            <w:vAlign w:val="center"/>
          </w:tcPr>
          <w:p w14:paraId="0214C87D" w14:textId="77777777" w:rsidR="005B2187" w:rsidRPr="004F4CCC" w:rsidRDefault="005B2187" w:rsidP="005B2187">
            <w:pPr>
              <w:spacing w:line="276" w:lineRule="auto"/>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sym w:font="Wingdings" w:char="F0A8"/>
            </w:r>
            <w:r w:rsidRPr="004F4CCC">
              <w:rPr>
                <w:rFonts w:ascii="Times New Roman" w:eastAsia="仿宋_GB2312" w:hAnsi="Times New Roman"/>
                <w:kern w:val="0"/>
                <w:sz w:val="24"/>
                <w:szCs w:val="24"/>
                <w:bdr w:val="none" w:sz="0" w:space="0" w:color="auto" w:frame="1"/>
              </w:rPr>
              <w:t xml:space="preserve"> 5.</w:t>
            </w:r>
            <w:r w:rsidRPr="004F4CCC">
              <w:rPr>
                <w:rFonts w:ascii="Times New Roman" w:eastAsia="仿宋_GB2312" w:hAnsi="Times New Roman"/>
                <w:kern w:val="0"/>
                <w:sz w:val="24"/>
                <w:szCs w:val="24"/>
                <w:bdr w:val="none" w:sz="0" w:space="0" w:color="auto" w:frame="1"/>
              </w:rPr>
              <w:t>参与集中的经营者收购境外企业股权或资产的，该境外企业不在中国境内从事经济活动。</w:t>
            </w:r>
          </w:p>
        </w:tc>
      </w:tr>
      <w:tr w:rsidR="005B2187" w:rsidRPr="004F4CCC" w14:paraId="5F69F34A" w14:textId="77777777" w:rsidTr="00540581">
        <w:trPr>
          <w:trHeight w:val="345"/>
        </w:trPr>
        <w:tc>
          <w:tcPr>
            <w:tcW w:w="1809" w:type="dxa"/>
            <w:vMerge/>
            <w:shd w:val="clear" w:color="auto" w:fill="D9D9D9"/>
            <w:vAlign w:val="center"/>
          </w:tcPr>
          <w:p w14:paraId="5311C6B0"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p>
        </w:tc>
        <w:tc>
          <w:tcPr>
            <w:tcW w:w="6949" w:type="dxa"/>
            <w:gridSpan w:val="2"/>
            <w:vAlign w:val="center"/>
          </w:tcPr>
          <w:p w14:paraId="6C0037CF" w14:textId="77777777" w:rsidR="005B2187" w:rsidRPr="004F4CCC" w:rsidRDefault="005B2187" w:rsidP="005B2187">
            <w:pPr>
              <w:spacing w:line="276" w:lineRule="auto"/>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sym w:font="Wingdings" w:char="F0A8"/>
            </w:r>
            <w:r w:rsidRPr="004F4CCC">
              <w:rPr>
                <w:rFonts w:ascii="Times New Roman" w:eastAsia="仿宋_GB2312" w:hAnsi="Times New Roman"/>
                <w:kern w:val="0"/>
                <w:sz w:val="24"/>
                <w:szCs w:val="24"/>
                <w:bdr w:val="none" w:sz="0" w:space="0" w:color="auto" w:frame="1"/>
              </w:rPr>
              <w:t xml:space="preserve"> 6.</w:t>
            </w:r>
            <w:r w:rsidRPr="004F4CCC">
              <w:rPr>
                <w:rFonts w:ascii="Times New Roman" w:eastAsia="仿宋_GB2312" w:hAnsi="Times New Roman"/>
                <w:kern w:val="0"/>
                <w:sz w:val="24"/>
                <w:szCs w:val="24"/>
                <w:bdr w:val="none" w:sz="0" w:space="0" w:color="auto" w:frame="1"/>
              </w:rPr>
              <w:t>由两个以上的经营者共同控制的合营企业，通过集中被其中一个或一个以上经营者控制。</w:t>
            </w:r>
          </w:p>
        </w:tc>
      </w:tr>
      <w:tr w:rsidR="005B2187" w:rsidRPr="004F4CCC" w14:paraId="0C7A9A08" w14:textId="77777777" w:rsidTr="00CB00DF">
        <w:tc>
          <w:tcPr>
            <w:tcW w:w="1809" w:type="dxa"/>
            <w:shd w:val="clear" w:color="auto" w:fill="D9D9D9"/>
            <w:vAlign w:val="center"/>
          </w:tcPr>
          <w:p w14:paraId="7EA737B8" w14:textId="77777777" w:rsidR="005B2187" w:rsidRPr="004F4CCC" w:rsidRDefault="005B2187" w:rsidP="005B2187">
            <w:pPr>
              <w:spacing w:line="276" w:lineRule="auto"/>
              <w:jc w:val="center"/>
              <w:rPr>
                <w:rFonts w:ascii="Times New Roman" w:eastAsia="仿宋_GB2312" w:hAnsi="Times New Roman"/>
                <w:kern w:val="0"/>
                <w:sz w:val="24"/>
                <w:szCs w:val="24"/>
                <w:bdr w:val="none" w:sz="0" w:space="0" w:color="auto" w:frame="1"/>
              </w:rPr>
            </w:pPr>
            <w:r w:rsidRPr="004F4CCC">
              <w:rPr>
                <w:rFonts w:ascii="Times New Roman" w:eastAsia="仿宋_GB2312" w:hAnsi="Times New Roman"/>
                <w:kern w:val="0"/>
                <w:sz w:val="24"/>
                <w:szCs w:val="24"/>
                <w:bdr w:val="none" w:sz="0" w:space="0" w:color="auto" w:frame="1"/>
              </w:rPr>
              <w:t>备注</w:t>
            </w:r>
          </w:p>
        </w:tc>
        <w:tc>
          <w:tcPr>
            <w:tcW w:w="6949" w:type="dxa"/>
            <w:gridSpan w:val="2"/>
          </w:tcPr>
          <w:p w14:paraId="701185E0" w14:textId="5DCCF909" w:rsidR="005B2187" w:rsidRDefault="00C618AD" w:rsidP="005B2187">
            <w:pPr>
              <w:spacing w:line="276" w:lineRule="auto"/>
              <w:rPr>
                <w:rFonts w:ascii="Times New Roman" w:eastAsia="仿宋_GB2312" w:hAnsi="Times New Roman"/>
                <w:sz w:val="24"/>
                <w:szCs w:val="24"/>
              </w:rPr>
            </w:pPr>
            <w:r>
              <w:rPr>
                <w:rFonts w:ascii="Times New Roman" w:eastAsia="仿宋_GB2312" w:hAnsi="Times New Roman" w:hint="eastAsia"/>
                <w:sz w:val="24"/>
                <w:szCs w:val="24"/>
              </w:rPr>
              <w:t>本次交易涉及的</w:t>
            </w:r>
            <w:r w:rsidR="005B2187" w:rsidRPr="004F4CCC">
              <w:rPr>
                <w:rFonts w:ascii="Times New Roman" w:eastAsia="仿宋_GB2312" w:hAnsi="Times New Roman"/>
                <w:sz w:val="24"/>
                <w:szCs w:val="24"/>
              </w:rPr>
              <w:t>相关市场及市场份额</w:t>
            </w:r>
            <w:r>
              <w:rPr>
                <w:rFonts w:ascii="Times New Roman" w:eastAsia="仿宋_GB2312" w:hAnsi="Times New Roman" w:hint="eastAsia"/>
                <w:sz w:val="24"/>
                <w:szCs w:val="24"/>
              </w:rPr>
              <w:t>如下</w:t>
            </w:r>
          </w:p>
          <w:p w14:paraId="1B7AC568" w14:textId="77777777" w:rsidR="006428AD" w:rsidRPr="00C618AD" w:rsidRDefault="006428AD" w:rsidP="005B2187">
            <w:pPr>
              <w:spacing w:line="276" w:lineRule="auto"/>
              <w:rPr>
                <w:rFonts w:ascii="Times New Roman" w:eastAsia="仿宋_GB2312" w:hAnsi="Times New Roman"/>
                <w:sz w:val="24"/>
                <w:szCs w:val="24"/>
              </w:rPr>
            </w:pPr>
          </w:p>
          <w:tbl>
            <w:tblPr>
              <w:tblStyle w:val="af"/>
              <w:tblW w:w="0" w:type="auto"/>
              <w:tblLook w:val="04A0" w:firstRow="1" w:lastRow="0" w:firstColumn="1" w:lastColumn="0" w:noHBand="0" w:noVBand="1"/>
            </w:tblPr>
            <w:tblGrid>
              <w:gridCol w:w="482"/>
              <w:gridCol w:w="2552"/>
              <w:gridCol w:w="1275"/>
              <w:gridCol w:w="1276"/>
            </w:tblGrid>
            <w:tr w:rsidR="00C618AD" w14:paraId="02721F0B" w14:textId="77777777" w:rsidTr="00C618AD">
              <w:tc>
                <w:tcPr>
                  <w:tcW w:w="482" w:type="dxa"/>
                  <w:shd w:val="clear" w:color="auto" w:fill="D9D9D9" w:themeFill="background1" w:themeFillShade="D9"/>
                </w:tcPr>
                <w:p w14:paraId="400F675C" w14:textId="1694DE28" w:rsidR="00C618AD" w:rsidRPr="00C618AD" w:rsidRDefault="00C618AD" w:rsidP="005B2187">
                  <w:pPr>
                    <w:spacing w:line="276" w:lineRule="auto"/>
                    <w:rPr>
                      <w:rFonts w:ascii="Times New Roman" w:eastAsia="仿宋_GB2312" w:hAnsi="Times New Roman"/>
                      <w:b/>
                      <w:sz w:val="24"/>
                      <w:szCs w:val="24"/>
                    </w:rPr>
                  </w:pPr>
                  <w:r w:rsidRPr="00C618AD">
                    <w:rPr>
                      <w:rFonts w:ascii="Times New Roman" w:eastAsia="仿宋_GB2312" w:hAnsi="Times New Roman" w:hint="eastAsia"/>
                      <w:b/>
                      <w:sz w:val="24"/>
                      <w:szCs w:val="24"/>
                    </w:rPr>
                    <w:t>序号</w:t>
                  </w:r>
                </w:p>
              </w:tc>
              <w:tc>
                <w:tcPr>
                  <w:tcW w:w="2552" w:type="dxa"/>
                  <w:shd w:val="clear" w:color="auto" w:fill="D9D9D9" w:themeFill="background1" w:themeFillShade="D9"/>
                </w:tcPr>
                <w:p w14:paraId="29FD0FC3" w14:textId="63E885ED" w:rsidR="00C618AD" w:rsidRPr="00C618AD" w:rsidRDefault="00C618AD" w:rsidP="005B2187">
                  <w:pPr>
                    <w:spacing w:line="276" w:lineRule="auto"/>
                    <w:rPr>
                      <w:rFonts w:ascii="Times New Roman" w:eastAsia="仿宋_GB2312" w:hAnsi="Times New Roman"/>
                      <w:b/>
                      <w:sz w:val="24"/>
                      <w:szCs w:val="24"/>
                    </w:rPr>
                  </w:pPr>
                  <w:r w:rsidRPr="00C618AD">
                    <w:rPr>
                      <w:rFonts w:ascii="Times New Roman" w:eastAsia="仿宋_GB2312" w:hAnsi="Times New Roman" w:hint="eastAsia"/>
                      <w:b/>
                      <w:sz w:val="24"/>
                      <w:szCs w:val="24"/>
                    </w:rPr>
                    <w:t>相关市场</w:t>
                  </w:r>
                </w:p>
              </w:tc>
              <w:tc>
                <w:tcPr>
                  <w:tcW w:w="1275" w:type="dxa"/>
                  <w:shd w:val="clear" w:color="auto" w:fill="D9D9D9" w:themeFill="background1" w:themeFillShade="D9"/>
                </w:tcPr>
                <w:p w14:paraId="6C526F6C" w14:textId="3241B59F" w:rsidR="00C618AD" w:rsidRPr="00C618AD" w:rsidRDefault="00C618AD" w:rsidP="005B2187">
                  <w:pPr>
                    <w:spacing w:line="276" w:lineRule="auto"/>
                    <w:rPr>
                      <w:rFonts w:ascii="Times New Roman" w:eastAsia="仿宋_GB2312" w:hAnsi="Times New Roman"/>
                      <w:b/>
                      <w:sz w:val="24"/>
                      <w:szCs w:val="24"/>
                    </w:rPr>
                  </w:pPr>
                  <w:r w:rsidRPr="00C618AD">
                    <w:rPr>
                      <w:rFonts w:ascii="Times New Roman" w:eastAsia="仿宋_GB2312" w:hAnsi="Times New Roman" w:hint="eastAsia"/>
                      <w:b/>
                      <w:sz w:val="24"/>
                      <w:szCs w:val="24"/>
                    </w:rPr>
                    <w:t>宝武集团市场份额</w:t>
                  </w:r>
                </w:p>
              </w:tc>
              <w:tc>
                <w:tcPr>
                  <w:tcW w:w="1276" w:type="dxa"/>
                  <w:shd w:val="clear" w:color="auto" w:fill="D9D9D9" w:themeFill="background1" w:themeFillShade="D9"/>
                </w:tcPr>
                <w:p w14:paraId="31897C4B" w14:textId="13CECC98" w:rsidR="00C618AD" w:rsidRPr="00C618AD" w:rsidRDefault="00C618AD" w:rsidP="005B2187">
                  <w:pPr>
                    <w:spacing w:line="276" w:lineRule="auto"/>
                    <w:rPr>
                      <w:rFonts w:ascii="Times New Roman" w:eastAsia="仿宋_GB2312" w:hAnsi="Times New Roman"/>
                      <w:b/>
                      <w:sz w:val="24"/>
                      <w:szCs w:val="24"/>
                    </w:rPr>
                  </w:pPr>
                  <w:r w:rsidRPr="00C618AD">
                    <w:rPr>
                      <w:rFonts w:ascii="Times New Roman" w:eastAsia="仿宋_GB2312" w:hAnsi="Times New Roman" w:hint="eastAsia"/>
                      <w:b/>
                      <w:sz w:val="24"/>
                      <w:szCs w:val="24"/>
                    </w:rPr>
                    <w:t>昆钢控股市场份额</w:t>
                  </w:r>
                </w:p>
              </w:tc>
            </w:tr>
            <w:tr w:rsidR="00C618AD" w14:paraId="5A9D77DB" w14:textId="77777777" w:rsidTr="00C618AD">
              <w:tc>
                <w:tcPr>
                  <w:tcW w:w="482" w:type="dxa"/>
                </w:tcPr>
                <w:p w14:paraId="6F1D9BA5" w14:textId="681B6B09" w:rsidR="00C618AD" w:rsidRDefault="00C618AD" w:rsidP="005B2187">
                  <w:pPr>
                    <w:spacing w:line="276" w:lineRule="auto"/>
                    <w:rPr>
                      <w:rFonts w:ascii="Times New Roman" w:eastAsia="仿宋_GB2312" w:hAnsi="Times New Roman"/>
                      <w:sz w:val="24"/>
                      <w:szCs w:val="24"/>
                    </w:rPr>
                  </w:pPr>
                  <w:r>
                    <w:rPr>
                      <w:rFonts w:ascii="Times New Roman" w:eastAsia="仿宋_GB2312" w:hAnsi="Times New Roman" w:hint="eastAsia"/>
                      <w:sz w:val="24"/>
                      <w:szCs w:val="24"/>
                    </w:rPr>
                    <w:lastRenderedPageBreak/>
                    <w:t>1</w:t>
                  </w:r>
                </w:p>
              </w:tc>
              <w:tc>
                <w:tcPr>
                  <w:tcW w:w="2552" w:type="dxa"/>
                </w:tcPr>
                <w:p w14:paraId="5DE9010D" w14:textId="37C80F9C" w:rsidR="00C618AD" w:rsidRDefault="00C618AD" w:rsidP="005B2187">
                  <w:pPr>
                    <w:spacing w:line="276" w:lineRule="auto"/>
                    <w:rPr>
                      <w:rFonts w:ascii="Times New Roman" w:eastAsia="仿宋_GB2312" w:hAnsi="Times New Roman"/>
                      <w:sz w:val="24"/>
                      <w:szCs w:val="24"/>
                    </w:rPr>
                  </w:pPr>
                  <w:r>
                    <w:rPr>
                      <w:rFonts w:ascii="Times New Roman" w:eastAsia="仿宋_GB2312" w:hAnsi="Times New Roman" w:hint="eastAsia"/>
                      <w:sz w:val="24"/>
                      <w:szCs w:val="24"/>
                    </w:rPr>
                    <w:t>全球铁矿石供应市场</w:t>
                  </w:r>
                </w:p>
              </w:tc>
              <w:tc>
                <w:tcPr>
                  <w:tcW w:w="1275" w:type="dxa"/>
                </w:tcPr>
                <w:p w14:paraId="4EDA4715" w14:textId="4EFA1B17" w:rsidR="00C618AD" w:rsidRDefault="00C618AD" w:rsidP="005B2187">
                  <w:pPr>
                    <w:spacing w:line="276" w:lineRule="auto"/>
                    <w:rPr>
                      <w:rFonts w:ascii="Times New Roman" w:eastAsia="仿宋_GB2312" w:hAnsi="Times New Roman"/>
                      <w:sz w:val="24"/>
                      <w:szCs w:val="24"/>
                    </w:rPr>
                  </w:pPr>
                  <w:r>
                    <w:rPr>
                      <w:rFonts w:ascii="Times New Roman" w:eastAsia="仿宋" w:hAnsi="Times New Roman" w:hint="eastAsia"/>
                      <w:kern w:val="0"/>
                      <w:sz w:val="24"/>
                      <w:szCs w:val="24"/>
                    </w:rPr>
                    <w:t>[</w:t>
                  </w:r>
                  <w:r>
                    <w:rPr>
                      <w:rFonts w:ascii="Times New Roman" w:eastAsia="仿宋" w:hAnsi="Times New Roman"/>
                      <w:kern w:val="0"/>
                      <w:sz w:val="24"/>
                      <w:szCs w:val="24"/>
                    </w:rPr>
                    <w:t>0-5]%</w:t>
                  </w:r>
                </w:p>
              </w:tc>
              <w:tc>
                <w:tcPr>
                  <w:tcW w:w="1276" w:type="dxa"/>
                </w:tcPr>
                <w:p w14:paraId="26E5D808" w14:textId="6BEE2B14" w:rsidR="00C618AD" w:rsidRDefault="00C618AD" w:rsidP="005B2187">
                  <w:pPr>
                    <w:spacing w:line="276" w:lineRule="auto"/>
                    <w:rPr>
                      <w:rFonts w:ascii="Times New Roman" w:eastAsia="仿宋_GB2312" w:hAnsi="Times New Roman"/>
                      <w:sz w:val="24"/>
                      <w:szCs w:val="24"/>
                    </w:rPr>
                  </w:pPr>
                  <w:r>
                    <w:rPr>
                      <w:rFonts w:ascii="Times New Roman" w:eastAsia="仿宋" w:hAnsi="Times New Roman" w:hint="eastAsia"/>
                      <w:kern w:val="0"/>
                      <w:sz w:val="24"/>
                      <w:szCs w:val="24"/>
                    </w:rPr>
                    <w:t>[</w:t>
                  </w:r>
                  <w:r>
                    <w:rPr>
                      <w:rFonts w:ascii="Times New Roman" w:eastAsia="仿宋" w:hAnsi="Times New Roman"/>
                      <w:kern w:val="0"/>
                      <w:sz w:val="24"/>
                      <w:szCs w:val="24"/>
                    </w:rPr>
                    <w:t>0-5]%</w:t>
                  </w:r>
                </w:p>
              </w:tc>
            </w:tr>
            <w:tr w:rsidR="00C618AD" w14:paraId="02C929ED" w14:textId="77777777" w:rsidTr="00C618AD">
              <w:tc>
                <w:tcPr>
                  <w:tcW w:w="482" w:type="dxa"/>
                </w:tcPr>
                <w:p w14:paraId="660BFB4D" w14:textId="7EE6358C" w:rsidR="00C618AD" w:rsidRDefault="00C618AD" w:rsidP="005B2187">
                  <w:pPr>
                    <w:spacing w:line="276" w:lineRule="auto"/>
                    <w:rPr>
                      <w:rFonts w:ascii="Times New Roman" w:eastAsia="仿宋_GB2312" w:hAnsi="Times New Roman"/>
                      <w:sz w:val="24"/>
                      <w:szCs w:val="24"/>
                    </w:rPr>
                  </w:pPr>
                  <w:r>
                    <w:rPr>
                      <w:rFonts w:ascii="Times New Roman" w:eastAsia="仿宋_GB2312" w:hAnsi="Times New Roman" w:hint="eastAsia"/>
                      <w:sz w:val="24"/>
                      <w:szCs w:val="24"/>
                    </w:rPr>
                    <w:t>2</w:t>
                  </w:r>
                </w:p>
              </w:tc>
              <w:tc>
                <w:tcPr>
                  <w:tcW w:w="2552" w:type="dxa"/>
                </w:tcPr>
                <w:p w14:paraId="74B4A4A4" w14:textId="787D551E" w:rsidR="00C618AD" w:rsidRDefault="00C618AD" w:rsidP="005B2187">
                  <w:pPr>
                    <w:spacing w:line="276" w:lineRule="auto"/>
                    <w:rPr>
                      <w:rFonts w:ascii="Times New Roman" w:eastAsia="仿宋_GB2312" w:hAnsi="Times New Roman"/>
                      <w:sz w:val="24"/>
                      <w:szCs w:val="24"/>
                    </w:rPr>
                  </w:pPr>
                  <w:r>
                    <w:rPr>
                      <w:rFonts w:ascii="Times New Roman" w:eastAsia="仿宋_GB2312" w:hAnsi="Times New Roman" w:hint="eastAsia"/>
                      <w:sz w:val="24"/>
                      <w:szCs w:val="24"/>
                    </w:rPr>
                    <w:t>中国钢筋市场</w:t>
                  </w:r>
                </w:p>
              </w:tc>
              <w:tc>
                <w:tcPr>
                  <w:tcW w:w="1275" w:type="dxa"/>
                </w:tcPr>
                <w:p w14:paraId="511D2874" w14:textId="69426DCC" w:rsidR="00C618AD" w:rsidRDefault="00C618AD" w:rsidP="005B2187">
                  <w:pPr>
                    <w:spacing w:line="276" w:lineRule="auto"/>
                    <w:rPr>
                      <w:rFonts w:ascii="Times New Roman" w:eastAsia="仿宋_GB2312" w:hAnsi="Times New Roman"/>
                      <w:sz w:val="24"/>
                      <w:szCs w:val="24"/>
                    </w:rPr>
                  </w:pPr>
                  <w:r>
                    <w:rPr>
                      <w:rFonts w:ascii="Times New Roman" w:eastAsia="仿宋" w:hAnsi="Times New Roman" w:hint="eastAsia"/>
                      <w:kern w:val="0"/>
                      <w:sz w:val="24"/>
                      <w:szCs w:val="24"/>
                    </w:rPr>
                    <w:t>[</w:t>
                  </w:r>
                  <w:r>
                    <w:rPr>
                      <w:rFonts w:ascii="Times New Roman" w:eastAsia="仿宋" w:hAnsi="Times New Roman"/>
                      <w:kern w:val="0"/>
                      <w:sz w:val="24"/>
                      <w:szCs w:val="24"/>
                    </w:rPr>
                    <w:t>5</w:t>
                  </w:r>
                  <w:r>
                    <w:rPr>
                      <w:rFonts w:ascii="Times New Roman" w:eastAsia="仿宋" w:hAnsi="Times New Roman" w:hint="eastAsia"/>
                      <w:kern w:val="0"/>
                      <w:sz w:val="24"/>
                      <w:szCs w:val="24"/>
                    </w:rPr>
                    <w:t>-</w:t>
                  </w:r>
                  <w:r>
                    <w:rPr>
                      <w:rFonts w:ascii="Times New Roman" w:eastAsia="仿宋" w:hAnsi="Times New Roman"/>
                      <w:kern w:val="0"/>
                      <w:sz w:val="24"/>
                      <w:szCs w:val="24"/>
                    </w:rPr>
                    <w:t>10]%</w:t>
                  </w:r>
                </w:p>
              </w:tc>
              <w:tc>
                <w:tcPr>
                  <w:tcW w:w="1276" w:type="dxa"/>
                </w:tcPr>
                <w:p w14:paraId="66A5D42A" w14:textId="2AF7836C" w:rsidR="00C618AD" w:rsidRDefault="00C618AD" w:rsidP="005B2187">
                  <w:pPr>
                    <w:spacing w:line="276" w:lineRule="auto"/>
                    <w:rPr>
                      <w:rFonts w:ascii="Times New Roman" w:eastAsia="仿宋_GB2312" w:hAnsi="Times New Roman"/>
                      <w:sz w:val="24"/>
                      <w:szCs w:val="24"/>
                    </w:rPr>
                  </w:pPr>
                  <w:r>
                    <w:rPr>
                      <w:rFonts w:ascii="Times New Roman" w:eastAsia="仿宋" w:hAnsi="Times New Roman" w:hint="eastAsia"/>
                      <w:kern w:val="0"/>
                      <w:sz w:val="24"/>
                      <w:szCs w:val="24"/>
                    </w:rPr>
                    <w:t>[</w:t>
                  </w:r>
                  <w:r>
                    <w:rPr>
                      <w:rFonts w:ascii="Times New Roman" w:eastAsia="仿宋" w:hAnsi="Times New Roman"/>
                      <w:kern w:val="0"/>
                      <w:sz w:val="24"/>
                      <w:szCs w:val="24"/>
                    </w:rPr>
                    <w:t>0-5]%</w:t>
                  </w:r>
                </w:p>
              </w:tc>
            </w:tr>
            <w:tr w:rsidR="00C618AD" w14:paraId="3CE28351" w14:textId="77777777" w:rsidTr="00C618AD">
              <w:tc>
                <w:tcPr>
                  <w:tcW w:w="482" w:type="dxa"/>
                </w:tcPr>
                <w:p w14:paraId="7A5A1454" w14:textId="60A130AC" w:rsidR="00C618AD" w:rsidRDefault="00C618AD" w:rsidP="005B2187">
                  <w:pPr>
                    <w:spacing w:line="276" w:lineRule="auto"/>
                    <w:rPr>
                      <w:rFonts w:ascii="Times New Roman" w:eastAsia="仿宋_GB2312" w:hAnsi="Times New Roman"/>
                      <w:sz w:val="24"/>
                      <w:szCs w:val="24"/>
                    </w:rPr>
                  </w:pPr>
                  <w:r>
                    <w:rPr>
                      <w:rFonts w:ascii="Times New Roman" w:eastAsia="仿宋_GB2312" w:hAnsi="Times New Roman" w:hint="eastAsia"/>
                      <w:sz w:val="24"/>
                      <w:szCs w:val="24"/>
                    </w:rPr>
                    <w:t>3</w:t>
                  </w:r>
                </w:p>
              </w:tc>
              <w:tc>
                <w:tcPr>
                  <w:tcW w:w="2552" w:type="dxa"/>
                </w:tcPr>
                <w:p w14:paraId="6CCAD34D" w14:textId="15F1ADC1" w:rsidR="00C618AD" w:rsidRDefault="00C618AD" w:rsidP="005B2187">
                  <w:pPr>
                    <w:spacing w:line="276" w:lineRule="auto"/>
                    <w:rPr>
                      <w:rFonts w:ascii="Times New Roman" w:eastAsia="仿宋_GB2312" w:hAnsi="Times New Roman"/>
                      <w:sz w:val="24"/>
                      <w:szCs w:val="24"/>
                    </w:rPr>
                  </w:pPr>
                  <w:r>
                    <w:rPr>
                      <w:rFonts w:ascii="Times New Roman" w:eastAsia="仿宋_GB2312" w:hAnsi="Times New Roman" w:hint="eastAsia"/>
                      <w:sz w:val="24"/>
                      <w:szCs w:val="24"/>
                    </w:rPr>
                    <w:t>中国</w:t>
                  </w:r>
                  <w:r w:rsidR="00C25574">
                    <w:rPr>
                      <w:rFonts w:ascii="Times New Roman" w:eastAsia="仿宋_GB2312" w:hAnsi="Times New Roman" w:hint="eastAsia"/>
                      <w:sz w:val="24"/>
                      <w:szCs w:val="24"/>
                    </w:rPr>
                    <w:t>线</w:t>
                  </w:r>
                  <w:r>
                    <w:rPr>
                      <w:rFonts w:ascii="Times New Roman" w:eastAsia="仿宋_GB2312" w:hAnsi="Times New Roman" w:hint="eastAsia"/>
                      <w:sz w:val="24"/>
                      <w:szCs w:val="24"/>
                    </w:rPr>
                    <w:t>材市场</w:t>
                  </w:r>
                </w:p>
              </w:tc>
              <w:tc>
                <w:tcPr>
                  <w:tcW w:w="1275" w:type="dxa"/>
                </w:tcPr>
                <w:p w14:paraId="3C191A66" w14:textId="7480FE4D" w:rsidR="00C618AD" w:rsidRDefault="00C618AD" w:rsidP="005B2187">
                  <w:pPr>
                    <w:spacing w:line="276" w:lineRule="auto"/>
                    <w:rPr>
                      <w:rFonts w:ascii="Times New Roman" w:eastAsia="仿宋_GB2312" w:hAnsi="Times New Roman"/>
                      <w:sz w:val="24"/>
                      <w:szCs w:val="24"/>
                    </w:rPr>
                  </w:pPr>
                  <w:r>
                    <w:rPr>
                      <w:rFonts w:ascii="Times New Roman" w:eastAsia="仿宋" w:hAnsi="Times New Roman" w:hint="eastAsia"/>
                      <w:kern w:val="0"/>
                      <w:sz w:val="24"/>
                      <w:szCs w:val="24"/>
                    </w:rPr>
                    <w:t>[</w:t>
                  </w:r>
                  <w:r>
                    <w:rPr>
                      <w:rFonts w:ascii="Times New Roman" w:eastAsia="仿宋" w:hAnsi="Times New Roman"/>
                      <w:kern w:val="0"/>
                      <w:sz w:val="24"/>
                      <w:szCs w:val="24"/>
                    </w:rPr>
                    <w:t>0-5]%</w:t>
                  </w:r>
                </w:p>
              </w:tc>
              <w:tc>
                <w:tcPr>
                  <w:tcW w:w="1276" w:type="dxa"/>
                </w:tcPr>
                <w:p w14:paraId="2A168469" w14:textId="74798219" w:rsidR="00C618AD" w:rsidRDefault="00C618AD" w:rsidP="005B2187">
                  <w:pPr>
                    <w:spacing w:line="276" w:lineRule="auto"/>
                    <w:rPr>
                      <w:rFonts w:ascii="Times New Roman" w:eastAsia="仿宋_GB2312" w:hAnsi="Times New Roman"/>
                      <w:sz w:val="24"/>
                      <w:szCs w:val="24"/>
                    </w:rPr>
                  </w:pPr>
                  <w:r>
                    <w:rPr>
                      <w:rFonts w:ascii="Times New Roman" w:eastAsia="仿宋" w:hAnsi="Times New Roman" w:hint="eastAsia"/>
                      <w:kern w:val="0"/>
                      <w:sz w:val="24"/>
                      <w:szCs w:val="24"/>
                    </w:rPr>
                    <w:t>[</w:t>
                  </w:r>
                  <w:r>
                    <w:rPr>
                      <w:rFonts w:ascii="Times New Roman" w:eastAsia="仿宋" w:hAnsi="Times New Roman"/>
                      <w:kern w:val="0"/>
                      <w:sz w:val="24"/>
                      <w:szCs w:val="24"/>
                    </w:rPr>
                    <w:t>0-5]%</w:t>
                  </w:r>
                </w:p>
              </w:tc>
            </w:tr>
          </w:tbl>
          <w:p w14:paraId="6B49E246" w14:textId="4FF3F947" w:rsidR="006428AD" w:rsidRPr="004F4CCC" w:rsidRDefault="006428AD" w:rsidP="005B2187">
            <w:pPr>
              <w:spacing w:line="276" w:lineRule="auto"/>
              <w:rPr>
                <w:rFonts w:ascii="Times New Roman" w:eastAsia="仿宋_GB2312" w:hAnsi="Times New Roman"/>
                <w:sz w:val="24"/>
                <w:szCs w:val="24"/>
              </w:rPr>
            </w:pPr>
          </w:p>
        </w:tc>
      </w:tr>
    </w:tbl>
    <w:p w14:paraId="5673EF75" w14:textId="77777777" w:rsidR="00CB00DF" w:rsidRPr="004F4CCC" w:rsidRDefault="00CB00DF" w:rsidP="00460FB4">
      <w:pPr>
        <w:snapToGrid w:val="0"/>
        <w:spacing w:line="276" w:lineRule="auto"/>
        <w:jc w:val="left"/>
        <w:rPr>
          <w:rFonts w:ascii="Times New Roman" w:eastAsia="仿宋_GB2312" w:hAnsi="Times New Roman"/>
          <w:sz w:val="24"/>
          <w:szCs w:val="24"/>
        </w:rPr>
      </w:pPr>
    </w:p>
    <w:p w14:paraId="38B65171" w14:textId="77777777" w:rsidR="00CB00DF" w:rsidRPr="004F4CCC" w:rsidRDefault="00CB00DF" w:rsidP="00460FB4">
      <w:pPr>
        <w:snapToGrid w:val="0"/>
        <w:spacing w:line="276" w:lineRule="auto"/>
        <w:jc w:val="left"/>
        <w:rPr>
          <w:rFonts w:ascii="Times New Roman" w:eastAsia="仿宋_GB2312" w:hAnsi="Times New Roman"/>
          <w:sz w:val="24"/>
          <w:szCs w:val="24"/>
        </w:rPr>
      </w:pPr>
      <w:r w:rsidRPr="004F4CCC">
        <w:rPr>
          <w:rFonts w:ascii="Times New Roman" w:eastAsia="仿宋_GB2312" w:hAnsi="Times New Roman"/>
          <w:sz w:val="24"/>
          <w:szCs w:val="24"/>
        </w:rPr>
        <w:t>注解：</w:t>
      </w:r>
    </w:p>
    <w:p w14:paraId="455F3225" w14:textId="77777777" w:rsidR="00CB00DF" w:rsidRPr="004F4CCC" w:rsidRDefault="00CB00DF" w:rsidP="00460FB4">
      <w:pPr>
        <w:snapToGrid w:val="0"/>
        <w:spacing w:line="276" w:lineRule="auto"/>
        <w:ind w:firstLineChars="200" w:firstLine="480"/>
        <w:jc w:val="left"/>
        <w:rPr>
          <w:rFonts w:ascii="Times New Roman" w:eastAsia="仿宋_GB2312" w:hAnsi="Times New Roman"/>
          <w:sz w:val="24"/>
          <w:szCs w:val="24"/>
        </w:rPr>
      </w:pPr>
      <w:r w:rsidRPr="004F4CCC">
        <w:rPr>
          <w:rFonts w:ascii="Times New Roman" w:eastAsia="仿宋_GB2312" w:hAnsi="Times New Roman"/>
          <w:sz w:val="24"/>
          <w:szCs w:val="24"/>
        </w:rPr>
        <w:t>1.</w:t>
      </w:r>
      <w:r w:rsidRPr="004F4CCC">
        <w:rPr>
          <w:rFonts w:ascii="Times New Roman" w:eastAsia="仿宋_GB2312" w:hAnsi="Times New Roman"/>
          <w:sz w:val="24"/>
          <w:szCs w:val="24"/>
        </w:rPr>
        <w:t>申报方申请简易案件的理由是基于</w:t>
      </w:r>
      <w:r w:rsidRPr="004F4CCC">
        <w:rPr>
          <w:rFonts w:ascii="Times New Roman" w:eastAsia="仿宋_GB2312" w:hAnsi="Times New Roman"/>
          <w:sz w:val="24"/>
          <w:szCs w:val="24"/>
        </w:rPr>
        <w:t>1-3</w:t>
      </w:r>
      <w:r w:rsidRPr="004F4CCC">
        <w:rPr>
          <w:rFonts w:ascii="Times New Roman" w:eastAsia="仿宋_GB2312" w:hAnsi="Times New Roman"/>
          <w:sz w:val="24"/>
          <w:szCs w:val="24"/>
        </w:rPr>
        <w:t>项时，须在备注中说明界定的相关商品市场和相关地域市场（无须阐述界定理由），以及相关市场份额；市场份额可以区间形式提供，区间幅度不应超过</w:t>
      </w:r>
      <w:r w:rsidRPr="004F4CCC">
        <w:rPr>
          <w:rFonts w:ascii="Times New Roman" w:eastAsia="仿宋_GB2312" w:hAnsi="Times New Roman"/>
          <w:sz w:val="24"/>
          <w:szCs w:val="24"/>
        </w:rPr>
        <w:t>5%</w:t>
      </w:r>
      <w:r w:rsidRPr="004F4CCC">
        <w:rPr>
          <w:rFonts w:ascii="Times New Roman" w:eastAsia="仿宋_GB2312" w:hAnsi="Times New Roman"/>
          <w:sz w:val="24"/>
          <w:szCs w:val="24"/>
        </w:rPr>
        <w:t>。</w:t>
      </w:r>
      <w:r w:rsidRPr="004F4CCC">
        <w:rPr>
          <w:rFonts w:ascii="Times New Roman" w:eastAsia="仿宋_GB2312" w:hAnsi="Times New Roman"/>
          <w:sz w:val="24"/>
          <w:szCs w:val="24"/>
        </w:rPr>
        <w:t>1-3</w:t>
      </w:r>
      <w:r w:rsidRPr="004F4CCC">
        <w:rPr>
          <w:rFonts w:ascii="Times New Roman" w:eastAsia="仿宋_GB2312" w:hAnsi="Times New Roman"/>
          <w:sz w:val="24"/>
          <w:szCs w:val="24"/>
        </w:rPr>
        <w:t>项可以多选，也可单选；没有勾选的，视为本集中不涉及该类型交易。</w:t>
      </w:r>
    </w:p>
    <w:p w14:paraId="701383F7" w14:textId="77777777" w:rsidR="00CB00DF" w:rsidRPr="004F4CCC" w:rsidRDefault="00CB00DF" w:rsidP="00460FB4">
      <w:pPr>
        <w:spacing w:line="276" w:lineRule="auto"/>
        <w:ind w:firstLineChars="200" w:firstLine="480"/>
        <w:rPr>
          <w:rFonts w:ascii="Times New Roman" w:eastAsia="仿宋_GB2312" w:hAnsi="Times New Roman"/>
          <w:sz w:val="24"/>
          <w:szCs w:val="24"/>
        </w:rPr>
      </w:pPr>
      <w:r w:rsidRPr="004F4CCC">
        <w:rPr>
          <w:rFonts w:ascii="Times New Roman" w:eastAsia="仿宋_GB2312" w:hAnsi="Times New Roman"/>
          <w:sz w:val="24"/>
          <w:szCs w:val="24"/>
        </w:rPr>
        <w:t>2.</w:t>
      </w:r>
      <w:r w:rsidRPr="004F4CCC">
        <w:rPr>
          <w:rFonts w:ascii="Times New Roman" w:eastAsia="仿宋_GB2312" w:hAnsi="Times New Roman"/>
          <w:sz w:val="24"/>
          <w:szCs w:val="24"/>
        </w:rPr>
        <w:t>申报方申请简易案件的理由是基于第</w:t>
      </w:r>
      <w:r w:rsidRPr="004F4CCC">
        <w:rPr>
          <w:rFonts w:ascii="Times New Roman" w:eastAsia="仿宋_GB2312" w:hAnsi="Times New Roman"/>
          <w:sz w:val="24"/>
          <w:szCs w:val="24"/>
        </w:rPr>
        <w:t>4</w:t>
      </w:r>
      <w:r w:rsidRPr="004F4CCC">
        <w:rPr>
          <w:rFonts w:ascii="Times New Roman" w:eastAsia="仿宋_GB2312" w:hAnsi="Times New Roman"/>
          <w:sz w:val="24"/>
          <w:szCs w:val="24"/>
        </w:rPr>
        <w:t>项、第</w:t>
      </w:r>
      <w:r w:rsidRPr="004F4CCC">
        <w:rPr>
          <w:rFonts w:ascii="Times New Roman" w:eastAsia="仿宋_GB2312" w:hAnsi="Times New Roman"/>
          <w:sz w:val="24"/>
          <w:szCs w:val="24"/>
        </w:rPr>
        <w:t>5</w:t>
      </w:r>
      <w:r w:rsidRPr="004F4CCC">
        <w:rPr>
          <w:rFonts w:ascii="Times New Roman" w:eastAsia="仿宋_GB2312" w:hAnsi="Times New Roman"/>
          <w:sz w:val="24"/>
          <w:szCs w:val="24"/>
        </w:rPr>
        <w:t>项时，无须在备注中说明相关市场和市场份额。</w:t>
      </w:r>
      <w:r w:rsidRPr="004F4CCC">
        <w:rPr>
          <w:rFonts w:ascii="Times New Roman" w:eastAsia="仿宋_GB2312" w:hAnsi="Times New Roman"/>
          <w:sz w:val="24"/>
          <w:szCs w:val="24"/>
        </w:rPr>
        <w:br/>
        <w:t xml:space="preserve">    3.</w:t>
      </w:r>
      <w:r w:rsidRPr="004F4CCC">
        <w:rPr>
          <w:rFonts w:ascii="Times New Roman" w:eastAsia="仿宋_GB2312"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4F4CCC">
        <w:rPr>
          <w:rFonts w:ascii="Times New Roman" w:eastAsia="仿宋_GB2312" w:hAnsi="Times New Roman"/>
          <w:sz w:val="24"/>
          <w:szCs w:val="24"/>
        </w:rPr>
        <w:t>1</w:t>
      </w:r>
      <w:r w:rsidRPr="004F4CCC">
        <w:rPr>
          <w:rFonts w:ascii="Times New Roman" w:eastAsia="仿宋_GB2312" w:hAnsi="Times New Roman"/>
          <w:sz w:val="24"/>
          <w:szCs w:val="24"/>
        </w:rPr>
        <w:t>项和第</w:t>
      </w:r>
      <w:r w:rsidRPr="004F4CCC">
        <w:rPr>
          <w:rFonts w:ascii="Times New Roman" w:eastAsia="仿宋_GB2312" w:hAnsi="Times New Roman"/>
          <w:sz w:val="24"/>
          <w:szCs w:val="24"/>
        </w:rPr>
        <w:t>6</w:t>
      </w:r>
      <w:r w:rsidRPr="004F4CCC">
        <w:rPr>
          <w:rFonts w:ascii="Times New Roman" w:eastAsia="仿宋_GB2312" w:hAnsi="Times New Roman"/>
          <w:sz w:val="24"/>
          <w:szCs w:val="24"/>
        </w:rPr>
        <w:t>项理由，并在备注中说明界定的相关商品市场和相关地域市场（无须阐述界定理由），以及相关市场份额。市场份额可以区间形式提供，区间幅度不应超过</w:t>
      </w:r>
      <w:r w:rsidRPr="004F4CCC">
        <w:rPr>
          <w:rFonts w:ascii="Times New Roman" w:eastAsia="仿宋_GB2312" w:hAnsi="Times New Roman"/>
          <w:sz w:val="24"/>
          <w:szCs w:val="24"/>
        </w:rPr>
        <w:t>5%</w:t>
      </w:r>
      <w:r w:rsidRPr="004F4CCC">
        <w:rPr>
          <w:rFonts w:ascii="Times New Roman" w:eastAsia="仿宋_GB2312" w:hAnsi="Times New Roman"/>
          <w:sz w:val="24"/>
          <w:szCs w:val="24"/>
        </w:rPr>
        <w:t>。</w:t>
      </w:r>
    </w:p>
    <w:p w14:paraId="37BA825B" w14:textId="77777777" w:rsidR="00CB00DF" w:rsidRPr="004F4CCC" w:rsidRDefault="00CB00DF" w:rsidP="00460FB4">
      <w:pPr>
        <w:spacing w:line="276" w:lineRule="auto"/>
        <w:rPr>
          <w:rFonts w:ascii="Times New Roman" w:eastAsia="仿宋_GB2312" w:hAnsi="Times New Roman"/>
          <w:sz w:val="24"/>
          <w:szCs w:val="24"/>
        </w:rPr>
      </w:pPr>
    </w:p>
    <w:p w14:paraId="0927BEFE" w14:textId="77777777" w:rsidR="000F5E24" w:rsidRPr="004F4CCC" w:rsidRDefault="00984E9B" w:rsidP="00460FB4">
      <w:pPr>
        <w:spacing w:line="276" w:lineRule="auto"/>
        <w:rPr>
          <w:rFonts w:ascii="Times New Roman" w:eastAsia="仿宋_GB2312" w:hAnsi="Times New Roman"/>
          <w:sz w:val="24"/>
          <w:szCs w:val="24"/>
        </w:rPr>
      </w:pPr>
    </w:p>
    <w:sectPr w:rsidR="000F5E24" w:rsidRPr="004F4CCC" w:rsidSect="00ED21B1">
      <w:pgSz w:w="11906" w:h="16838"/>
      <w:pgMar w:top="1440" w:right="1800" w:bottom="1440" w:left="1800"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CCA1D70" w16cid:durableId="23AF3881"/>
  <w16cid:commentId w16cid:paraId="20D84DB2" w16cid:durableId="23AF39A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81B520" w14:textId="77777777" w:rsidR="00876BFD" w:rsidRDefault="00876BFD" w:rsidP="007703E0">
      <w:r>
        <w:separator/>
      </w:r>
    </w:p>
  </w:endnote>
  <w:endnote w:type="continuationSeparator" w:id="0">
    <w:p w14:paraId="4E33D1D0" w14:textId="77777777" w:rsidR="00876BFD" w:rsidRDefault="00876BFD" w:rsidP="00770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7D9634" w14:textId="77777777" w:rsidR="00876BFD" w:rsidRDefault="00876BFD" w:rsidP="007703E0">
      <w:r>
        <w:separator/>
      </w:r>
    </w:p>
  </w:footnote>
  <w:footnote w:type="continuationSeparator" w:id="0">
    <w:p w14:paraId="457F6979" w14:textId="77777777" w:rsidR="00876BFD" w:rsidRDefault="00876BFD" w:rsidP="007703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2727A9"/>
    <w:multiLevelType w:val="hybridMultilevel"/>
    <w:tmpl w:val="5E9292B2"/>
    <w:lvl w:ilvl="0" w:tplc="B9D84D8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463D1"/>
    <w:rsid w:val="00071BFC"/>
    <w:rsid w:val="000812FA"/>
    <w:rsid w:val="00082D12"/>
    <w:rsid w:val="000A00EB"/>
    <w:rsid w:val="000D1BD5"/>
    <w:rsid w:val="000D7EBA"/>
    <w:rsid w:val="00107231"/>
    <w:rsid w:val="001164CD"/>
    <w:rsid w:val="00135570"/>
    <w:rsid w:val="00155717"/>
    <w:rsid w:val="001837A3"/>
    <w:rsid w:val="001B0F90"/>
    <w:rsid w:val="001F758A"/>
    <w:rsid w:val="00213BCA"/>
    <w:rsid w:val="0023704E"/>
    <w:rsid w:val="002460EE"/>
    <w:rsid w:val="0027078B"/>
    <w:rsid w:val="002F3D52"/>
    <w:rsid w:val="00300479"/>
    <w:rsid w:val="003166E5"/>
    <w:rsid w:val="00330CC0"/>
    <w:rsid w:val="003578D8"/>
    <w:rsid w:val="00392883"/>
    <w:rsid w:val="00397794"/>
    <w:rsid w:val="003C0AEB"/>
    <w:rsid w:val="003D6377"/>
    <w:rsid w:val="00433903"/>
    <w:rsid w:val="00442287"/>
    <w:rsid w:val="0044522B"/>
    <w:rsid w:val="00460FB4"/>
    <w:rsid w:val="00473885"/>
    <w:rsid w:val="004A4B9A"/>
    <w:rsid w:val="004D7F82"/>
    <w:rsid w:val="004F431A"/>
    <w:rsid w:val="004F4CCC"/>
    <w:rsid w:val="004F7688"/>
    <w:rsid w:val="005231C4"/>
    <w:rsid w:val="00533330"/>
    <w:rsid w:val="005354AF"/>
    <w:rsid w:val="0053633E"/>
    <w:rsid w:val="00540581"/>
    <w:rsid w:val="00544AE7"/>
    <w:rsid w:val="00561070"/>
    <w:rsid w:val="005B2187"/>
    <w:rsid w:val="005E6E18"/>
    <w:rsid w:val="006428AD"/>
    <w:rsid w:val="006467D8"/>
    <w:rsid w:val="006737E4"/>
    <w:rsid w:val="006A531B"/>
    <w:rsid w:val="006F7693"/>
    <w:rsid w:val="00710140"/>
    <w:rsid w:val="00714E23"/>
    <w:rsid w:val="00721DC4"/>
    <w:rsid w:val="007327A7"/>
    <w:rsid w:val="007703E0"/>
    <w:rsid w:val="007A0F54"/>
    <w:rsid w:val="007B6176"/>
    <w:rsid w:val="007F0E69"/>
    <w:rsid w:val="007F2275"/>
    <w:rsid w:val="007F7AB4"/>
    <w:rsid w:val="00800174"/>
    <w:rsid w:val="008350F4"/>
    <w:rsid w:val="008760DD"/>
    <w:rsid w:val="00876BFD"/>
    <w:rsid w:val="008C5408"/>
    <w:rsid w:val="008E1DBF"/>
    <w:rsid w:val="008F26ED"/>
    <w:rsid w:val="008F5BAF"/>
    <w:rsid w:val="00915F0F"/>
    <w:rsid w:val="009216CE"/>
    <w:rsid w:val="009221E2"/>
    <w:rsid w:val="009441ED"/>
    <w:rsid w:val="009532DF"/>
    <w:rsid w:val="00964002"/>
    <w:rsid w:val="00971EE1"/>
    <w:rsid w:val="00975C84"/>
    <w:rsid w:val="00984E9B"/>
    <w:rsid w:val="00997019"/>
    <w:rsid w:val="009A5029"/>
    <w:rsid w:val="009C1563"/>
    <w:rsid w:val="009C727A"/>
    <w:rsid w:val="009D38D5"/>
    <w:rsid w:val="009D5152"/>
    <w:rsid w:val="00A53F26"/>
    <w:rsid w:val="00A8399C"/>
    <w:rsid w:val="00AA0CC5"/>
    <w:rsid w:val="00AA5DC9"/>
    <w:rsid w:val="00AF69A2"/>
    <w:rsid w:val="00B16AFE"/>
    <w:rsid w:val="00B65DD5"/>
    <w:rsid w:val="00BA4778"/>
    <w:rsid w:val="00BD10B6"/>
    <w:rsid w:val="00BF44D8"/>
    <w:rsid w:val="00C07076"/>
    <w:rsid w:val="00C25574"/>
    <w:rsid w:val="00C467A1"/>
    <w:rsid w:val="00C618AD"/>
    <w:rsid w:val="00CA2C00"/>
    <w:rsid w:val="00CB00DF"/>
    <w:rsid w:val="00CB2271"/>
    <w:rsid w:val="00D420D3"/>
    <w:rsid w:val="00D434CD"/>
    <w:rsid w:val="00D56F4A"/>
    <w:rsid w:val="00D73C72"/>
    <w:rsid w:val="00D8317D"/>
    <w:rsid w:val="00DB0E4F"/>
    <w:rsid w:val="00DF5C1C"/>
    <w:rsid w:val="00E00ACB"/>
    <w:rsid w:val="00E0592B"/>
    <w:rsid w:val="00E21D54"/>
    <w:rsid w:val="00E31738"/>
    <w:rsid w:val="00E33332"/>
    <w:rsid w:val="00E86786"/>
    <w:rsid w:val="00E9290E"/>
    <w:rsid w:val="00EC1743"/>
    <w:rsid w:val="00ED2F80"/>
    <w:rsid w:val="00EE0A39"/>
    <w:rsid w:val="00F01FBB"/>
    <w:rsid w:val="00F04050"/>
    <w:rsid w:val="00F10246"/>
    <w:rsid w:val="00F1624E"/>
    <w:rsid w:val="00F237C1"/>
    <w:rsid w:val="00F323EB"/>
    <w:rsid w:val="00F32F8A"/>
    <w:rsid w:val="00F47FA3"/>
    <w:rsid w:val="00F53CBB"/>
    <w:rsid w:val="00F75AEF"/>
    <w:rsid w:val="00F810AA"/>
    <w:rsid w:val="00FB43EC"/>
    <w:rsid w:val="00FB6B40"/>
    <w:rsid w:val="00FF255C"/>
    <w:rsid w:val="00FF703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6307B29"/>
  <w15:docId w15:val="{BC8E629C-9CE8-4B16-9DA0-842C34B5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03E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03E0"/>
    <w:rPr>
      <w:rFonts w:ascii="Calibri" w:eastAsia="宋体" w:hAnsi="Calibri" w:cs="Times New Roman"/>
      <w:sz w:val="18"/>
      <w:szCs w:val="18"/>
    </w:rPr>
  </w:style>
  <w:style w:type="paragraph" w:styleId="a5">
    <w:name w:val="footer"/>
    <w:basedOn w:val="a"/>
    <w:link w:val="a6"/>
    <w:uiPriority w:val="99"/>
    <w:unhideWhenUsed/>
    <w:rsid w:val="007703E0"/>
    <w:pPr>
      <w:tabs>
        <w:tab w:val="center" w:pos="4153"/>
        <w:tab w:val="right" w:pos="8306"/>
      </w:tabs>
      <w:snapToGrid w:val="0"/>
      <w:jc w:val="left"/>
    </w:pPr>
    <w:rPr>
      <w:sz w:val="18"/>
      <w:szCs w:val="18"/>
    </w:rPr>
  </w:style>
  <w:style w:type="character" w:customStyle="1" w:styleId="a6">
    <w:name w:val="页脚 字符"/>
    <w:basedOn w:val="a0"/>
    <w:link w:val="a5"/>
    <w:uiPriority w:val="99"/>
    <w:rsid w:val="007703E0"/>
    <w:rPr>
      <w:rFonts w:ascii="Calibri" w:eastAsia="宋体" w:hAnsi="Calibri" w:cs="Times New Roman"/>
      <w:sz w:val="18"/>
      <w:szCs w:val="18"/>
    </w:rPr>
  </w:style>
  <w:style w:type="paragraph" w:styleId="a7">
    <w:name w:val="List Paragraph"/>
    <w:basedOn w:val="a"/>
    <w:uiPriority w:val="34"/>
    <w:qFormat/>
    <w:rsid w:val="009216CE"/>
    <w:pPr>
      <w:ind w:firstLineChars="200" w:firstLine="420"/>
    </w:pPr>
  </w:style>
  <w:style w:type="paragraph" w:styleId="a8">
    <w:name w:val="Balloon Text"/>
    <w:basedOn w:val="a"/>
    <w:link w:val="a9"/>
    <w:uiPriority w:val="99"/>
    <w:semiHidden/>
    <w:unhideWhenUsed/>
    <w:rsid w:val="00C467A1"/>
    <w:rPr>
      <w:sz w:val="18"/>
      <w:szCs w:val="18"/>
    </w:rPr>
  </w:style>
  <w:style w:type="character" w:customStyle="1" w:styleId="a9">
    <w:name w:val="批注框文本 字符"/>
    <w:basedOn w:val="a0"/>
    <w:link w:val="a8"/>
    <w:uiPriority w:val="99"/>
    <w:semiHidden/>
    <w:rsid w:val="00C467A1"/>
    <w:rPr>
      <w:rFonts w:ascii="Calibri" w:eastAsia="宋体" w:hAnsi="Calibri" w:cs="Times New Roman"/>
      <w:sz w:val="18"/>
      <w:szCs w:val="18"/>
    </w:rPr>
  </w:style>
  <w:style w:type="character" w:styleId="aa">
    <w:name w:val="annotation reference"/>
    <w:basedOn w:val="a0"/>
    <w:uiPriority w:val="99"/>
    <w:semiHidden/>
    <w:unhideWhenUsed/>
    <w:rsid w:val="008F5BAF"/>
    <w:rPr>
      <w:sz w:val="21"/>
      <w:szCs w:val="21"/>
    </w:rPr>
  </w:style>
  <w:style w:type="paragraph" w:styleId="ab">
    <w:name w:val="annotation text"/>
    <w:basedOn w:val="a"/>
    <w:link w:val="ac"/>
    <w:uiPriority w:val="99"/>
    <w:semiHidden/>
    <w:unhideWhenUsed/>
    <w:rsid w:val="008F5BAF"/>
    <w:pPr>
      <w:jc w:val="left"/>
    </w:pPr>
  </w:style>
  <w:style w:type="character" w:customStyle="1" w:styleId="ac">
    <w:name w:val="批注文字 字符"/>
    <w:basedOn w:val="a0"/>
    <w:link w:val="ab"/>
    <w:uiPriority w:val="99"/>
    <w:semiHidden/>
    <w:rsid w:val="008F5BAF"/>
    <w:rPr>
      <w:rFonts w:ascii="Calibri" w:eastAsia="宋体" w:hAnsi="Calibri" w:cs="Times New Roman"/>
    </w:rPr>
  </w:style>
  <w:style w:type="paragraph" w:styleId="ad">
    <w:name w:val="annotation subject"/>
    <w:basedOn w:val="ab"/>
    <w:next w:val="ab"/>
    <w:link w:val="ae"/>
    <w:uiPriority w:val="99"/>
    <w:semiHidden/>
    <w:unhideWhenUsed/>
    <w:rsid w:val="008F5BAF"/>
    <w:rPr>
      <w:b/>
      <w:bCs/>
    </w:rPr>
  </w:style>
  <w:style w:type="character" w:customStyle="1" w:styleId="ae">
    <w:name w:val="批注主题 字符"/>
    <w:basedOn w:val="ac"/>
    <w:link w:val="ad"/>
    <w:uiPriority w:val="99"/>
    <w:semiHidden/>
    <w:rsid w:val="008F5BAF"/>
    <w:rPr>
      <w:rFonts w:ascii="Calibri" w:eastAsia="宋体" w:hAnsi="Calibri" w:cs="Times New Roman"/>
      <w:b/>
      <w:bCs/>
    </w:rPr>
  </w:style>
  <w:style w:type="table" w:styleId="af">
    <w:name w:val="Table Grid"/>
    <w:basedOn w:val="a1"/>
    <w:uiPriority w:val="39"/>
    <w:rsid w:val="00C618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King &amp; Wood Mallesons</cp:lastModifiedBy>
  <cp:revision>41</cp:revision>
  <dcterms:created xsi:type="dcterms:W3CDTF">2019-08-14T11:20:00Z</dcterms:created>
  <dcterms:modified xsi:type="dcterms:W3CDTF">2021-03-03T07:47:00Z</dcterms:modified>
</cp:coreProperties>
</file>