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42D2BC" w14:textId="77777777" w:rsidR="00A5306F" w:rsidRPr="009D55CA" w:rsidRDefault="00A5306F" w:rsidP="00197BCC">
      <w:pPr>
        <w:jc w:val="center"/>
        <w:rPr>
          <w:rFonts w:ascii="Times New Roman" w:hAnsi="Times New Roman" w:cs="Times New Roman"/>
          <w:b/>
        </w:rPr>
      </w:pPr>
      <w:r w:rsidRPr="009D55CA">
        <w:rPr>
          <w:rFonts w:ascii="Times New Roman" w:hAnsi="Times New Roman" w:cs="Times New Roman"/>
          <w:b/>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3A1271" w:rsidRPr="001029E1" w14:paraId="1BB684D5" w14:textId="77777777" w:rsidTr="008F5334">
        <w:trPr>
          <w:trHeight w:val="310"/>
        </w:trPr>
        <w:tc>
          <w:tcPr>
            <w:tcW w:w="1809" w:type="dxa"/>
            <w:shd w:val="clear" w:color="auto" w:fill="D9D9D9"/>
            <w:vAlign w:val="center"/>
          </w:tcPr>
          <w:p w14:paraId="0C9B5F93" w14:textId="77777777" w:rsidR="003A1271" w:rsidRPr="001029E1" w:rsidRDefault="008F5334" w:rsidP="00A5306F">
            <w:pPr>
              <w:rPr>
                <w:rFonts w:ascii="Times New Roman" w:hAnsi="Times New Roman" w:cs="Times New Roman"/>
                <w:b/>
              </w:rPr>
            </w:pPr>
            <w:r>
              <w:rPr>
                <w:rFonts w:ascii="Times New Roman" w:hAnsi="Times New Roman" w:cs="Times New Roman" w:hint="eastAsia"/>
                <w:b/>
              </w:rPr>
              <w:t>案件名称</w:t>
            </w:r>
          </w:p>
        </w:tc>
        <w:tc>
          <w:tcPr>
            <w:tcW w:w="6949" w:type="dxa"/>
            <w:gridSpan w:val="2"/>
            <w:vAlign w:val="center"/>
          </w:tcPr>
          <w:p w14:paraId="3FAE45BF" w14:textId="6B90B708" w:rsidR="003A1271" w:rsidRDefault="003F3764" w:rsidP="00C02B9F">
            <w:pPr>
              <w:snapToGrid w:val="0"/>
              <w:spacing w:after="0" w:line="240" w:lineRule="auto"/>
              <w:jc w:val="both"/>
              <w:rPr>
                <w:rFonts w:eastAsiaTheme="majorEastAsia"/>
                <w:szCs w:val="21"/>
              </w:rPr>
            </w:pPr>
            <w:r w:rsidRPr="003F3764">
              <w:rPr>
                <w:rFonts w:eastAsiaTheme="majorEastAsia" w:hint="eastAsia"/>
                <w:szCs w:val="21"/>
              </w:rPr>
              <w:t>深圳顺丰泰森控股（集团）有限公司收购嘉里物流联网有限公司股权案</w:t>
            </w:r>
          </w:p>
        </w:tc>
      </w:tr>
      <w:tr w:rsidR="00A5306F" w:rsidRPr="00CE1E63" w14:paraId="3512B022" w14:textId="77777777" w:rsidTr="008F5334">
        <w:trPr>
          <w:trHeight w:val="1196"/>
        </w:trPr>
        <w:tc>
          <w:tcPr>
            <w:tcW w:w="1809" w:type="dxa"/>
            <w:shd w:val="clear" w:color="auto" w:fill="D9D9D9"/>
            <w:vAlign w:val="center"/>
          </w:tcPr>
          <w:p w14:paraId="4412AE0E" w14:textId="77777777" w:rsidR="00A5306F" w:rsidRPr="001029E1" w:rsidRDefault="00A5306F" w:rsidP="00A5306F">
            <w:pPr>
              <w:rPr>
                <w:rFonts w:ascii="Times New Roman" w:hAnsi="Times New Roman" w:cs="Times New Roman"/>
                <w:b/>
              </w:rPr>
            </w:pPr>
            <w:r w:rsidRPr="001029E1">
              <w:rPr>
                <w:rFonts w:ascii="Times New Roman" w:hAnsi="Times New Roman" w:cs="Times New Roman"/>
                <w:b/>
              </w:rPr>
              <w:t>交易概况（限</w:t>
            </w:r>
            <w:r w:rsidRPr="001029E1">
              <w:rPr>
                <w:rFonts w:ascii="Times New Roman" w:hAnsi="Times New Roman" w:cs="Times New Roman"/>
                <w:b/>
              </w:rPr>
              <w:t>200</w:t>
            </w:r>
            <w:r w:rsidRPr="001029E1">
              <w:rPr>
                <w:rFonts w:ascii="Times New Roman" w:hAnsi="Times New Roman" w:cs="Times New Roman"/>
                <w:b/>
              </w:rPr>
              <w:t>字内）</w:t>
            </w:r>
          </w:p>
        </w:tc>
        <w:tc>
          <w:tcPr>
            <w:tcW w:w="6949" w:type="dxa"/>
            <w:gridSpan w:val="2"/>
            <w:vAlign w:val="center"/>
          </w:tcPr>
          <w:p w14:paraId="1BAC1E4A" w14:textId="222D0ADA" w:rsidR="00826312" w:rsidRPr="00064BFF" w:rsidRDefault="003F3764" w:rsidP="00A04809">
            <w:pPr>
              <w:spacing w:after="0" w:line="240" w:lineRule="auto"/>
              <w:jc w:val="both"/>
              <w:rPr>
                <w:rFonts w:eastAsiaTheme="majorEastAsia"/>
                <w:lang w:val="en-US"/>
              </w:rPr>
            </w:pPr>
            <w:r w:rsidRPr="003F3764">
              <w:rPr>
                <w:rFonts w:eastAsiaTheme="majorEastAsia" w:hint="eastAsia"/>
                <w:lang w:val="en-US"/>
              </w:rPr>
              <w:t>深圳顺丰泰森控股（集团）有限公司</w:t>
            </w:r>
            <w:r>
              <w:rPr>
                <w:rFonts w:eastAsiaTheme="majorEastAsia" w:hint="eastAsia"/>
                <w:lang w:val="en-US"/>
              </w:rPr>
              <w:t>（“</w:t>
            </w:r>
            <w:r w:rsidRPr="003F3764">
              <w:rPr>
                <w:rFonts w:eastAsiaTheme="majorEastAsia" w:hint="eastAsia"/>
                <w:b/>
                <w:bCs/>
                <w:lang w:val="en-US"/>
              </w:rPr>
              <w:t>顺丰泰森</w:t>
            </w:r>
            <w:r>
              <w:rPr>
                <w:rFonts w:eastAsiaTheme="majorEastAsia" w:hint="eastAsia"/>
                <w:lang w:val="en-US"/>
              </w:rPr>
              <w:t>”）</w:t>
            </w:r>
            <w:r w:rsidRPr="003F3764">
              <w:rPr>
                <w:rFonts w:eastAsiaTheme="majorEastAsia" w:hint="eastAsia"/>
                <w:lang w:val="en-US"/>
              </w:rPr>
              <w:t>的全资子公司</w:t>
            </w:r>
            <w:r w:rsidRPr="003F3764">
              <w:rPr>
                <w:rFonts w:eastAsiaTheme="majorEastAsia" w:hint="eastAsia"/>
                <w:lang w:val="en-US"/>
              </w:rPr>
              <w:t>Flourish Harmony</w:t>
            </w:r>
            <w:r w:rsidR="00457236" w:rsidRPr="006E430F">
              <w:rPr>
                <w:rFonts w:eastAsiaTheme="majorEastAsia"/>
                <w:lang w:val="en-US"/>
              </w:rPr>
              <w:t xml:space="preserve"> </w:t>
            </w:r>
            <w:r w:rsidR="00457236" w:rsidRPr="00CE1E63">
              <w:rPr>
                <w:rFonts w:eastAsiaTheme="majorEastAsia"/>
                <w:lang w:val="en-US"/>
              </w:rPr>
              <w:t>Holdings Company</w:t>
            </w:r>
            <w:r>
              <w:rPr>
                <w:rFonts w:eastAsiaTheme="majorEastAsia"/>
                <w:lang w:val="en-US"/>
              </w:rPr>
              <w:t xml:space="preserve"> </w:t>
            </w:r>
            <w:r>
              <w:rPr>
                <w:rFonts w:eastAsiaTheme="majorEastAsia" w:hint="eastAsia"/>
                <w:lang w:val="en-US"/>
              </w:rPr>
              <w:t>Limited</w:t>
            </w:r>
            <w:r w:rsidRPr="003F3764">
              <w:rPr>
                <w:rFonts w:eastAsiaTheme="majorEastAsia" w:hint="eastAsia"/>
                <w:lang w:val="en-US"/>
              </w:rPr>
              <w:t>拟收购嘉里物流联网有限公司</w:t>
            </w:r>
            <w:r>
              <w:rPr>
                <w:rFonts w:eastAsiaTheme="majorEastAsia" w:hint="eastAsia"/>
                <w:lang w:val="en-US"/>
              </w:rPr>
              <w:t>（“</w:t>
            </w:r>
            <w:r w:rsidRPr="003F3764">
              <w:rPr>
                <w:rFonts w:eastAsiaTheme="majorEastAsia" w:hint="eastAsia"/>
                <w:b/>
                <w:bCs/>
                <w:lang w:val="en-US"/>
              </w:rPr>
              <w:t>嘉里物流</w:t>
            </w:r>
            <w:r>
              <w:rPr>
                <w:rFonts w:eastAsiaTheme="majorEastAsia" w:hint="eastAsia"/>
                <w:lang w:val="en-US"/>
              </w:rPr>
              <w:t>”）</w:t>
            </w:r>
            <w:r w:rsidRPr="00907543">
              <w:rPr>
                <w:rFonts w:eastAsiaTheme="majorEastAsia" w:hint="eastAsia"/>
                <w:lang w:val="en-US"/>
              </w:rPr>
              <w:t>931,209,117</w:t>
            </w:r>
            <w:r w:rsidRPr="00907543">
              <w:rPr>
                <w:rFonts w:eastAsiaTheme="majorEastAsia" w:hint="eastAsia"/>
                <w:lang w:val="en-US"/>
              </w:rPr>
              <w:t>股股份（约占嘉里物流已发行股本的</w:t>
            </w:r>
            <w:r w:rsidRPr="00907543">
              <w:rPr>
                <w:rFonts w:eastAsiaTheme="majorEastAsia" w:hint="eastAsia"/>
                <w:lang w:val="en-US"/>
              </w:rPr>
              <w:t>51.8%</w:t>
            </w:r>
            <w:r w:rsidRPr="00907543">
              <w:rPr>
                <w:rFonts w:eastAsiaTheme="majorEastAsia" w:hint="eastAsia"/>
                <w:lang w:val="en-US"/>
              </w:rPr>
              <w:t>和全面摊薄股本的</w:t>
            </w:r>
            <w:r w:rsidRPr="00907543">
              <w:rPr>
                <w:rFonts w:eastAsiaTheme="majorEastAsia" w:hint="eastAsia"/>
                <w:lang w:val="en-US"/>
              </w:rPr>
              <w:t>51.5%</w:t>
            </w:r>
            <w:r w:rsidRPr="00907543">
              <w:rPr>
                <w:rFonts w:eastAsiaTheme="majorEastAsia" w:hint="eastAsia"/>
                <w:lang w:val="en-US"/>
              </w:rPr>
              <w:t>）及注销相关嘉里物流购股权持有人持有的代表嘉里物流于最终截止日未行使购股权数量的</w:t>
            </w:r>
            <w:r w:rsidRPr="00907543">
              <w:rPr>
                <w:rFonts w:eastAsiaTheme="majorEastAsia" w:hint="eastAsia"/>
                <w:lang w:val="en-US"/>
              </w:rPr>
              <w:t>51.8%</w:t>
            </w:r>
            <w:r w:rsidRPr="00907543">
              <w:rPr>
                <w:rFonts w:eastAsiaTheme="majorEastAsia" w:hint="eastAsia"/>
                <w:lang w:val="en-US"/>
              </w:rPr>
              <w:t>的嘉里物流购股权（以要约公告发出之日嘉里物流未行使的购股权数量为基础计算，对应购股权股数为</w:t>
            </w:r>
            <w:r w:rsidRPr="00907543">
              <w:rPr>
                <w:rFonts w:eastAsiaTheme="majorEastAsia" w:hint="eastAsia"/>
                <w:lang w:val="en-US"/>
              </w:rPr>
              <w:t>5,615,227</w:t>
            </w:r>
            <w:r w:rsidRPr="00907543">
              <w:rPr>
                <w:rFonts w:eastAsiaTheme="majorEastAsia" w:hint="eastAsia"/>
                <w:lang w:val="en-US"/>
              </w:rPr>
              <w:t>股）</w:t>
            </w:r>
            <w:r w:rsidRPr="003F3764">
              <w:rPr>
                <w:rFonts w:eastAsiaTheme="majorEastAsia" w:hint="eastAsia"/>
                <w:lang w:val="en-US"/>
              </w:rPr>
              <w:t>。交易完成后，顺丰泰森将持有嘉里物流</w:t>
            </w:r>
            <w:r w:rsidR="00E84601">
              <w:rPr>
                <w:rFonts w:eastAsiaTheme="majorEastAsia" w:hint="eastAsia"/>
                <w:lang w:val="en-US"/>
              </w:rPr>
              <w:t>5</w:t>
            </w:r>
            <w:r w:rsidR="00E84601">
              <w:rPr>
                <w:rFonts w:eastAsiaTheme="majorEastAsia"/>
                <w:lang w:val="en-US"/>
              </w:rPr>
              <w:t>1.5</w:t>
            </w:r>
            <w:r w:rsidR="00E84601">
              <w:rPr>
                <w:rFonts w:eastAsiaTheme="majorEastAsia" w:hint="eastAsia"/>
                <w:lang w:val="en-US"/>
              </w:rPr>
              <w:t>%</w:t>
            </w:r>
            <w:r w:rsidR="00E84601">
              <w:rPr>
                <w:rFonts w:eastAsiaTheme="majorEastAsia"/>
                <w:lang w:val="en-US"/>
              </w:rPr>
              <w:t xml:space="preserve"> </w:t>
            </w:r>
            <w:r w:rsidR="00E84601">
              <w:rPr>
                <w:rFonts w:eastAsiaTheme="majorEastAsia" w:hint="eastAsia"/>
                <w:lang w:val="en-US"/>
              </w:rPr>
              <w:t>-</w:t>
            </w:r>
            <w:r w:rsidR="00E84601">
              <w:rPr>
                <w:rFonts w:eastAsiaTheme="majorEastAsia"/>
                <w:lang w:val="en-US"/>
              </w:rPr>
              <w:t xml:space="preserve"> </w:t>
            </w:r>
            <w:r w:rsidRPr="003F3764">
              <w:rPr>
                <w:rFonts w:eastAsiaTheme="majorEastAsia" w:hint="eastAsia"/>
                <w:lang w:val="en-US"/>
              </w:rPr>
              <w:t>51.8%</w:t>
            </w:r>
            <w:r w:rsidRPr="003F3764">
              <w:rPr>
                <w:rFonts w:eastAsiaTheme="majorEastAsia" w:hint="eastAsia"/>
                <w:lang w:val="en-US"/>
              </w:rPr>
              <w:t>股权</w:t>
            </w:r>
            <w:r w:rsidR="00E84601" w:rsidRPr="00907543">
              <w:rPr>
                <w:rFonts w:eastAsiaTheme="majorEastAsia" w:hint="eastAsia"/>
                <w:lang w:val="en-US"/>
              </w:rPr>
              <w:t>（视嘉里物流购股权持有人是否行使了购股权）</w:t>
            </w:r>
            <w:r w:rsidRPr="00907543">
              <w:rPr>
                <w:rFonts w:eastAsiaTheme="majorEastAsia" w:hint="eastAsia"/>
                <w:lang w:val="en-US"/>
              </w:rPr>
              <w:t>，</w:t>
            </w:r>
            <w:r w:rsidRPr="003F3764">
              <w:rPr>
                <w:rFonts w:eastAsiaTheme="majorEastAsia" w:hint="eastAsia"/>
                <w:lang w:val="en-US"/>
              </w:rPr>
              <w:t>成为嘉里物流的控股股东</w:t>
            </w:r>
            <w:r w:rsidR="00DA2783">
              <w:rPr>
                <w:rFonts w:eastAsiaTheme="majorEastAsia" w:hint="eastAsia"/>
                <w:lang w:val="en-US"/>
              </w:rPr>
              <w:t>，</w:t>
            </w:r>
            <w:r w:rsidR="00DE5E45">
              <w:rPr>
                <w:rFonts w:hint="eastAsia"/>
              </w:rPr>
              <w:t>对嘉里物流具有单独控制权</w:t>
            </w:r>
            <w:r w:rsidRPr="003F3764">
              <w:rPr>
                <w:rFonts w:eastAsiaTheme="majorEastAsia" w:hint="eastAsia"/>
                <w:lang w:val="en-US"/>
              </w:rPr>
              <w:t>。</w:t>
            </w:r>
          </w:p>
        </w:tc>
      </w:tr>
      <w:tr w:rsidR="00064BFF" w:rsidRPr="001029E1" w14:paraId="3F28C7B3" w14:textId="77777777" w:rsidTr="00064BFF">
        <w:trPr>
          <w:trHeight w:val="1876"/>
        </w:trPr>
        <w:tc>
          <w:tcPr>
            <w:tcW w:w="1809" w:type="dxa"/>
            <w:vMerge w:val="restart"/>
            <w:shd w:val="clear" w:color="auto" w:fill="D9D9D9"/>
            <w:vAlign w:val="center"/>
          </w:tcPr>
          <w:p w14:paraId="28FBEB7C" w14:textId="77777777" w:rsidR="00064BFF" w:rsidRPr="001029E1" w:rsidRDefault="00064BFF" w:rsidP="00A5306F">
            <w:pPr>
              <w:rPr>
                <w:rFonts w:ascii="Times New Roman" w:hAnsi="Times New Roman" w:cs="Times New Roman"/>
                <w:b/>
              </w:rPr>
            </w:pPr>
            <w:r w:rsidRPr="001029E1">
              <w:rPr>
                <w:rFonts w:ascii="Times New Roman" w:hAnsi="Times New Roman" w:cs="Times New Roman"/>
                <w:b/>
              </w:rPr>
              <w:t>参与集中的经营者简介</w:t>
            </w:r>
          </w:p>
        </w:tc>
        <w:tc>
          <w:tcPr>
            <w:tcW w:w="1796" w:type="dxa"/>
            <w:vAlign w:val="center"/>
          </w:tcPr>
          <w:p w14:paraId="6385B36F" w14:textId="22264960" w:rsidR="00064BFF" w:rsidRPr="001029E1" w:rsidRDefault="00064BFF" w:rsidP="00C43F73">
            <w:pPr>
              <w:spacing w:after="0" w:line="240" w:lineRule="auto"/>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、顺丰</w:t>
            </w:r>
            <w:r w:rsidR="003F3764">
              <w:rPr>
                <w:rFonts w:ascii="Times New Roman" w:hAnsi="Times New Roman" w:cs="Times New Roman" w:hint="eastAsia"/>
              </w:rPr>
              <w:t>泰森</w:t>
            </w:r>
          </w:p>
        </w:tc>
        <w:tc>
          <w:tcPr>
            <w:tcW w:w="5153" w:type="dxa"/>
            <w:vAlign w:val="center"/>
          </w:tcPr>
          <w:p w14:paraId="1B419CCB" w14:textId="0B2AA3CA" w:rsidR="00064BFF" w:rsidRPr="003A1271" w:rsidRDefault="00064BFF" w:rsidP="00DD7400">
            <w:pPr>
              <w:snapToGrid w:val="0"/>
              <w:spacing w:after="0" w:line="240" w:lineRule="auto"/>
              <w:jc w:val="both"/>
              <w:rPr>
                <w:rFonts w:ascii="Times New Roman" w:hAnsi="Times New Roman"/>
                <w:kern w:val="2"/>
                <w:sz w:val="21"/>
                <w:szCs w:val="21"/>
              </w:rPr>
            </w:pPr>
            <w:r w:rsidRPr="00064BFF">
              <w:rPr>
                <w:rFonts w:hint="eastAsia"/>
                <w:szCs w:val="21"/>
              </w:rPr>
              <w:t>顺丰</w:t>
            </w:r>
            <w:r w:rsidR="003F3764">
              <w:rPr>
                <w:rFonts w:hint="eastAsia"/>
                <w:szCs w:val="21"/>
              </w:rPr>
              <w:t>泰森</w:t>
            </w:r>
            <w:r w:rsidRPr="00064BFF">
              <w:rPr>
                <w:rFonts w:hint="eastAsia"/>
                <w:szCs w:val="21"/>
              </w:rPr>
              <w:t>（及所在的顺丰集团）的主营业务为快递、快运、冷链</w:t>
            </w:r>
            <w:r w:rsidR="006734A3">
              <w:rPr>
                <w:rFonts w:hint="eastAsia"/>
                <w:szCs w:val="21"/>
              </w:rPr>
              <w:t>物流</w:t>
            </w:r>
            <w:r w:rsidRPr="00064BFF">
              <w:rPr>
                <w:rFonts w:hint="eastAsia"/>
                <w:szCs w:val="21"/>
              </w:rPr>
              <w:t>及</w:t>
            </w:r>
            <w:r w:rsidR="007845EE">
              <w:rPr>
                <w:rFonts w:hint="eastAsia"/>
                <w:szCs w:val="21"/>
              </w:rPr>
              <w:t>第三方</w:t>
            </w:r>
            <w:r w:rsidR="00546467">
              <w:rPr>
                <w:rFonts w:hint="eastAsia"/>
                <w:szCs w:val="21"/>
              </w:rPr>
              <w:t>物流</w:t>
            </w:r>
            <w:r w:rsidRPr="00064BFF">
              <w:rPr>
                <w:rFonts w:hint="eastAsia"/>
                <w:szCs w:val="21"/>
              </w:rPr>
              <w:t>服务</w:t>
            </w:r>
            <w:r>
              <w:rPr>
                <w:rFonts w:hint="eastAsia"/>
                <w:szCs w:val="21"/>
              </w:rPr>
              <w:t>。</w:t>
            </w:r>
          </w:p>
        </w:tc>
      </w:tr>
      <w:tr w:rsidR="00064BFF" w:rsidRPr="001029E1" w14:paraId="3E7E9CE4" w14:textId="77777777" w:rsidTr="008F5334">
        <w:trPr>
          <w:trHeight w:val="1683"/>
        </w:trPr>
        <w:tc>
          <w:tcPr>
            <w:tcW w:w="1809" w:type="dxa"/>
            <w:vMerge/>
            <w:shd w:val="clear" w:color="auto" w:fill="D9D9D9"/>
            <w:vAlign w:val="center"/>
          </w:tcPr>
          <w:p w14:paraId="1A820176" w14:textId="77777777" w:rsidR="00064BFF" w:rsidRPr="001029E1" w:rsidRDefault="00064BFF" w:rsidP="00CB28ED">
            <w:pPr>
              <w:rPr>
                <w:rFonts w:ascii="Times New Roman" w:hAnsi="Times New Roman" w:cs="Times New Roman"/>
                <w:b/>
              </w:rPr>
            </w:pPr>
          </w:p>
        </w:tc>
        <w:tc>
          <w:tcPr>
            <w:tcW w:w="1796" w:type="dxa"/>
            <w:vAlign w:val="center"/>
          </w:tcPr>
          <w:p w14:paraId="087EC0C5" w14:textId="4B99CE59" w:rsidR="00064BFF" w:rsidRPr="001029E1" w:rsidRDefault="00064BFF" w:rsidP="00CB28ED">
            <w:pPr>
              <w:spacing w:after="0" w:line="240" w:lineRule="auto"/>
              <w:jc w:val="both"/>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sidR="003F3764">
              <w:rPr>
                <w:rFonts w:ascii="Times New Roman" w:eastAsia="宋体" w:hAnsi="Times New Roman" w:cs="Times New Roman" w:hint="eastAsia"/>
                <w:szCs w:val="21"/>
              </w:rPr>
              <w:t>嘉里物流</w:t>
            </w:r>
          </w:p>
        </w:tc>
        <w:tc>
          <w:tcPr>
            <w:tcW w:w="5153" w:type="dxa"/>
            <w:vAlign w:val="center"/>
          </w:tcPr>
          <w:p w14:paraId="01B60230" w14:textId="5CB8A534" w:rsidR="00064BFF" w:rsidRPr="00ED380F" w:rsidRDefault="007B1044" w:rsidP="00DD7400">
            <w:pPr>
              <w:rPr>
                <w:rFonts w:ascii="Times New Roman" w:eastAsia="宋体" w:hAnsi="Times New Roman" w:cs="Times New Roman"/>
                <w:szCs w:val="21"/>
              </w:rPr>
            </w:pPr>
            <w:r w:rsidRPr="007B1044">
              <w:rPr>
                <w:rFonts w:ascii="Times New Roman" w:eastAsia="宋体" w:hAnsi="Times New Roman" w:cs="Times New Roman" w:hint="eastAsia"/>
                <w:szCs w:val="21"/>
              </w:rPr>
              <w:t>嘉里物流在全球范围内主要从事综合物流、国际货运代理及仓库租赁业务</w:t>
            </w:r>
            <w:r>
              <w:rPr>
                <w:rFonts w:ascii="Times New Roman" w:eastAsia="宋体" w:hAnsi="Times New Roman" w:cs="Times New Roman" w:hint="eastAsia"/>
                <w:szCs w:val="21"/>
              </w:rPr>
              <w:t>，其</w:t>
            </w:r>
            <w:r w:rsidRPr="007B1044">
              <w:rPr>
                <w:rFonts w:ascii="Times New Roman" w:eastAsia="宋体" w:hAnsi="Times New Roman" w:cs="Times New Roman" w:hint="eastAsia"/>
                <w:szCs w:val="21"/>
              </w:rPr>
              <w:t>在中国境内主要从事</w:t>
            </w:r>
            <w:r w:rsidR="007845EE">
              <w:rPr>
                <w:rFonts w:ascii="Times New Roman" w:eastAsia="宋体" w:hAnsi="Times New Roman" w:cs="Times New Roman" w:hint="eastAsia"/>
                <w:szCs w:val="21"/>
              </w:rPr>
              <w:t>第三方物流</w:t>
            </w:r>
            <w:r w:rsidRPr="007B1044">
              <w:rPr>
                <w:rFonts w:ascii="Times New Roman" w:eastAsia="宋体" w:hAnsi="Times New Roman" w:cs="Times New Roman" w:hint="eastAsia"/>
                <w:szCs w:val="21"/>
              </w:rPr>
              <w:t>及国际货运代理业务</w:t>
            </w:r>
            <w:r>
              <w:rPr>
                <w:rFonts w:ascii="Times New Roman" w:eastAsia="宋体" w:hAnsi="Times New Roman" w:cs="Times New Roman" w:hint="eastAsia"/>
                <w:szCs w:val="21"/>
              </w:rPr>
              <w:t>。</w:t>
            </w:r>
          </w:p>
        </w:tc>
      </w:tr>
      <w:tr w:rsidR="00CB28ED" w:rsidRPr="001029E1" w14:paraId="7A3142EC" w14:textId="77777777" w:rsidTr="008F5334">
        <w:trPr>
          <w:trHeight w:val="279"/>
        </w:trPr>
        <w:tc>
          <w:tcPr>
            <w:tcW w:w="1809" w:type="dxa"/>
            <w:vMerge w:val="restart"/>
            <w:shd w:val="clear" w:color="auto" w:fill="D9D9D9"/>
            <w:vAlign w:val="center"/>
          </w:tcPr>
          <w:p w14:paraId="27BF1562" w14:textId="77777777" w:rsidR="00CB28ED" w:rsidRPr="001029E1" w:rsidRDefault="00CB28ED" w:rsidP="00CB28ED">
            <w:pPr>
              <w:rPr>
                <w:rFonts w:ascii="Times New Roman" w:hAnsi="Times New Roman" w:cs="Times New Roman"/>
                <w:b/>
              </w:rPr>
            </w:pPr>
            <w:r w:rsidRPr="001029E1">
              <w:rPr>
                <w:rFonts w:ascii="Times New Roman" w:hAnsi="Times New Roman" w:cs="Times New Roman"/>
                <w:b/>
              </w:rPr>
              <w:t>简易案件理由（可以单选，也可以多选）</w:t>
            </w:r>
          </w:p>
        </w:tc>
        <w:tc>
          <w:tcPr>
            <w:tcW w:w="6949" w:type="dxa"/>
            <w:gridSpan w:val="2"/>
            <w:vAlign w:val="center"/>
          </w:tcPr>
          <w:p w14:paraId="68A417C8" w14:textId="77777777" w:rsidR="00CB28ED" w:rsidRPr="003D72CC" w:rsidRDefault="00064BFF" w:rsidP="00CB28ED">
            <w:pPr>
              <w:spacing w:after="0" w:line="240" w:lineRule="auto"/>
              <w:jc w:val="both"/>
              <w:rPr>
                <w:rFonts w:ascii="Times New Roman" w:hAnsi="Times New Roman" w:cs="Times New Roman"/>
              </w:rPr>
            </w:pPr>
            <w:r w:rsidRPr="003D72CC">
              <w:rPr>
                <w:rFonts w:ascii="Times New Roman" w:hAnsi="Times New Roman" w:cs="Times New Roman"/>
                <w:bCs/>
              </w:rPr>
              <w:sym w:font="Wingdings" w:char="F0FE"/>
            </w:r>
            <w:r w:rsidR="00CB28ED" w:rsidRPr="003D72CC">
              <w:rPr>
                <w:rFonts w:ascii="Times New Roman" w:hAnsi="Times New Roman" w:cs="Times New Roman" w:hint="eastAsia"/>
                <w:bCs/>
              </w:rPr>
              <w:t xml:space="preserve"> </w:t>
            </w:r>
            <w:r w:rsidR="00CB28ED" w:rsidRPr="003D72CC">
              <w:rPr>
                <w:rFonts w:ascii="Times New Roman" w:hAnsi="Times New Roman" w:cs="Times New Roman"/>
              </w:rPr>
              <w:t>1</w:t>
            </w:r>
            <w:r w:rsidR="00CB28ED" w:rsidRPr="003D72CC">
              <w:rPr>
                <w:rFonts w:ascii="Times New Roman" w:hAnsi="Times New Roman" w:cs="Times New Roman"/>
              </w:rPr>
              <w:t>、在同一相关市场，所有参与集中的经营者所占市场份额之和小于</w:t>
            </w:r>
            <w:r w:rsidR="00CB28ED" w:rsidRPr="003D72CC">
              <w:rPr>
                <w:rFonts w:ascii="Times New Roman" w:hAnsi="Times New Roman" w:cs="Times New Roman"/>
              </w:rPr>
              <w:t>15%</w:t>
            </w:r>
            <w:r w:rsidR="00CB28ED" w:rsidRPr="003D72CC">
              <w:rPr>
                <w:rFonts w:ascii="Times New Roman" w:hAnsi="Times New Roman" w:cs="Times New Roman"/>
              </w:rPr>
              <w:t>。</w:t>
            </w:r>
          </w:p>
        </w:tc>
      </w:tr>
      <w:tr w:rsidR="00CB28ED" w:rsidRPr="001029E1" w14:paraId="479CF112" w14:textId="77777777" w:rsidTr="008F5334">
        <w:trPr>
          <w:trHeight w:val="330"/>
        </w:trPr>
        <w:tc>
          <w:tcPr>
            <w:tcW w:w="1809" w:type="dxa"/>
            <w:vMerge/>
            <w:shd w:val="clear" w:color="auto" w:fill="D9D9D9"/>
            <w:vAlign w:val="center"/>
          </w:tcPr>
          <w:p w14:paraId="4EE14DD2" w14:textId="77777777" w:rsidR="00CB28ED" w:rsidRPr="001029E1" w:rsidRDefault="00CB28ED" w:rsidP="00CB28ED">
            <w:pPr>
              <w:rPr>
                <w:rFonts w:ascii="Times New Roman" w:hAnsi="Times New Roman" w:cs="Times New Roman"/>
              </w:rPr>
            </w:pPr>
          </w:p>
        </w:tc>
        <w:tc>
          <w:tcPr>
            <w:tcW w:w="6949" w:type="dxa"/>
            <w:gridSpan w:val="2"/>
            <w:vAlign w:val="center"/>
          </w:tcPr>
          <w:p w14:paraId="34735552" w14:textId="3E8335AB" w:rsidR="00CB28ED" w:rsidRPr="003D72CC" w:rsidRDefault="003F3764" w:rsidP="00CB28ED">
            <w:pPr>
              <w:spacing w:after="0" w:line="240" w:lineRule="auto"/>
              <w:jc w:val="both"/>
              <w:rPr>
                <w:rFonts w:ascii="Times New Roman" w:hAnsi="Times New Roman" w:cs="Times New Roman"/>
              </w:rPr>
            </w:pPr>
            <w:r w:rsidRPr="003D72CC">
              <w:rPr>
                <w:rFonts w:ascii="Times New Roman" w:hAnsi="Times New Roman" w:cs="Times New Roman"/>
                <w:bCs/>
              </w:rPr>
              <w:sym w:font="Wingdings" w:char="F0A8"/>
            </w:r>
            <w:r>
              <w:rPr>
                <w:rFonts w:ascii="Times New Roman" w:hAnsi="Times New Roman" w:cs="Times New Roman"/>
                <w:bCs/>
              </w:rPr>
              <w:t xml:space="preserve"> </w:t>
            </w:r>
            <w:r w:rsidR="00CB28ED" w:rsidRPr="003D72CC">
              <w:rPr>
                <w:rFonts w:ascii="Times New Roman" w:hAnsi="Times New Roman" w:cs="Times New Roman"/>
              </w:rPr>
              <w:t>2</w:t>
            </w:r>
            <w:r w:rsidR="00CB28ED" w:rsidRPr="003D72CC">
              <w:rPr>
                <w:rFonts w:ascii="Times New Roman" w:hAnsi="Times New Roman" w:cs="Times New Roman"/>
              </w:rPr>
              <w:t>、存在上下游关系的参与集中的经营者，在上下游市场所占的市场份额均小于</w:t>
            </w:r>
            <w:r w:rsidR="00CB28ED" w:rsidRPr="003D72CC">
              <w:rPr>
                <w:rFonts w:ascii="Times New Roman" w:hAnsi="Times New Roman" w:cs="Times New Roman"/>
              </w:rPr>
              <w:t>25%</w:t>
            </w:r>
            <w:r w:rsidR="00CB28ED" w:rsidRPr="003D72CC">
              <w:rPr>
                <w:rFonts w:ascii="Times New Roman" w:hAnsi="Times New Roman" w:cs="Times New Roman"/>
              </w:rPr>
              <w:t>。</w:t>
            </w:r>
          </w:p>
        </w:tc>
      </w:tr>
      <w:tr w:rsidR="00CB28ED" w:rsidRPr="001029E1" w14:paraId="67C155D2" w14:textId="77777777" w:rsidTr="008F5334">
        <w:trPr>
          <w:trHeight w:val="285"/>
        </w:trPr>
        <w:tc>
          <w:tcPr>
            <w:tcW w:w="1809" w:type="dxa"/>
            <w:vMerge/>
            <w:shd w:val="clear" w:color="auto" w:fill="D9D9D9"/>
            <w:vAlign w:val="center"/>
          </w:tcPr>
          <w:p w14:paraId="6AD927E9" w14:textId="77777777" w:rsidR="00CB28ED" w:rsidRPr="001029E1" w:rsidRDefault="00CB28ED" w:rsidP="00CB28ED">
            <w:pPr>
              <w:rPr>
                <w:rFonts w:ascii="Times New Roman" w:hAnsi="Times New Roman" w:cs="Times New Roman"/>
              </w:rPr>
            </w:pPr>
          </w:p>
        </w:tc>
        <w:tc>
          <w:tcPr>
            <w:tcW w:w="6949" w:type="dxa"/>
            <w:gridSpan w:val="2"/>
            <w:vAlign w:val="center"/>
          </w:tcPr>
          <w:p w14:paraId="27DD16D3" w14:textId="77777777" w:rsidR="00CB28ED" w:rsidRPr="003D72CC" w:rsidRDefault="00CB28ED" w:rsidP="00CB28ED">
            <w:pPr>
              <w:spacing w:after="0" w:line="240" w:lineRule="auto"/>
              <w:jc w:val="both"/>
              <w:rPr>
                <w:rFonts w:ascii="Times New Roman" w:hAnsi="Times New Roman" w:cs="Times New Roman"/>
              </w:rPr>
            </w:pPr>
            <w:r w:rsidRPr="003D72CC">
              <w:rPr>
                <w:rFonts w:ascii="Times New Roman" w:hAnsi="Times New Roman" w:cs="Times New Roman"/>
                <w:bCs/>
              </w:rPr>
              <w:sym w:font="Wingdings" w:char="F0A8"/>
            </w:r>
            <w:r w:rsidRPr="003D72CC">
              <w:rPr>
                <w:rFonts w:ascii="Times New Roman" w:hAnsi="Times New Roman" w:cs="Times New Roman" w:hint="eastAsia"/>
                <w:bCs/>
              </w:rPr>
              <w:t xml:space="preserve"> </w:t>
            </w:r>
            <w:r w:rsidRPr="003D72CC">
              <w:rPr>
                <w:rFonts w:ascii="Times New Roman" w:hAnsi="Times New Roman" w:cs="Times New Roman"/>
              </w:rPr>
              <w:t>3</w:t>
            </w:r>
            <w:r w:rsidRPr="003D72CC">
              <w:rPr>
                <w:rFonts w:ascii="Times New Roman" w:hAnsi="Times New Roman" w:cs="Times New Roman"/>
              </w:rPr>
              <w:t>、不在同一相关市场、也不存在上下游关系的参与集中的经营者，在与交易有关的每个市场所占的份额均小于</w:t>
            </w:r>
            <w:r w:rsidRPr="003D72CC">
              <w:rPr>
                <w:rFonts w:ascii="Times New Roman" w:hAnsi="Times New Roman" w:cs="Times New Roman"/>
              </w:rPr>
              <w:t>25%</w:t>
            </w:r>
            <w:r w:rsidRPr="003D72CC">
              <w:rPr>
                <w:rFonts w:ascii="Times New Roman" w:hAnsi="Times New Roman" w:cs="Times New Roman"/>
              </w:rPr>
              <w:t>。</w:t>
            </w:r>
          </w:p>
        </w:tc>
      </w:tr>
      <w:tr w:rsidR="00CB28ED" w:rsidRPr="001029E1" w14:paraId="756863BA" w14:textId="77777777" w:rsidTr="008F5334">
        <w:trPr>
          <w:trHeight w:val="639"/>
        </w:trPr>
        <w:tc>
          <w:tcPr>
            <w:tcW w:w="1809" w:type="dxa"/>
            <w:vMerge/>
            <w:shd w:val="clear" w:color="auto" w:fill="D9D9D9"/>
            <w:vAlign w:val="center"/>
          </w:tcPr>
          <w:p w14:paraId="7F0649D4" w14:textId="77777777" w:rsidR="00CB28ED" w:rsidRPr="001029E1" w:rsidRDefault="00CB28ED" w:rsidP="00CB28ED">
            <w:pPr>
              <w:rPr>
                <w:rFonts w:ascii="Times New Roman" w:hAnsi="Times New Roman" w:cs="Times New Roman"/>
              </w:rPr>
            </w:pPr>
          </w:p>
        </w:tc>
        <w:tc>
          <w:tcPr>
            <w:tcW w:w="6949" w:type="dxa"/>
            <w:gridSpan w:val="2"/>
            <w:vAlign w:val="center"/>
          </w:tcPr>
          <w:p w14:paraId="2F4B437A" w14:textId="77777777" w:rsidR="00CB28ED" w:rsidRPr="003D72CC" w:rsidRDefault="003D72CC" w:rsidP="00CB28ED">
            <w:pPr>
              <w:spacing w:after="0" w:line="240" w:lineRule="auto"/>
              <w:jc w:val="both"/>
              <w:rPr>
                <w:rFonts w:ascii="Times New Roman" w:hAnsi="Times New Roman" w:cs="Times New Roman"/>
              </w:rPr>
            </w:pPr>
            <w:r w:rsidRPr="003D72CC">
              <w:rPr>
                <w:rFonts w:ascii="Times New Roman" w:hAnsi="Times New Roman" w:cs="Times New Roman"/>
                <w:bCs/>
              </w:rPr>
              <w:sym w:font="Wingdings" w:char="F0A8"/>
            </w:r>
            <w:r w:rsidR="00CB28ED" w:rsidRPr="003D72CC">
              <w:rPr>
                <w:rFonts w:ascii="Times New Roman" w:hAnsi="Times New Roman" w:cs="Times New Roman"/>
                <w:bCs/>
              </w:rPr>
              <w:t xml:space="preserve"> </w:t>
            </w:r>
            <w:r w:rsidR="00CB28ED" w:rsidRPr="003D72CC">
              <w:rPr>
                <w:rFonts w:ascii="Times New Roman" w:hAnsi="Times New Roman" w:cs="Times New Roman"/>
              </w:rPr>
              <w:t>4</w:t>
            </w:r>
            <w:r w:rsidR="00CB28ED" w:rsidRPr="003D72CC">
              <w:rPr>
                <w:rFonts w:ascii="Times New Roman" w:hAnsi="Times New Roman" w:cs="Times New Roman"/>
              </w:rPr>
              <w:t>、参与集中的经营者在中国境外设立合营企业，合营企业不在中国境内从事经济活动。</w:t>
            </w:r>
          </w:p>
        </w:tc>
      </w:tr>
      <w:tr w:rsidR="00CB28ED" w:rsidRPr="001029E1" w14:paraId="59690769" w14:textId="77777777" w:rsidTr="008F5334">
        <w:trPr>
          <w:trHeight w:val="264"/>
        </w:trPr>
        <w:tc>
          <w:tcPr>
            <w:tcW w:w="1809" w:type="dxa"/>
            <w:vMerge/>
            <w:shd w:val="clear" w:color="auto" w:fill="D9D9D9"/>
            <w:vAlign w:val="center"/>
          </w:tcPr>
          <w:p w14:paraId="40C6D08E" w14:textId="77777777" w:rsidR="00CB28ED" w:rsidRPr="001029E1" w:rsidRDefault="00CB28ED" w:rsidP="00CB28ED">
            <w:pPr>
              <w:rPr>
                <w:rFonts w:ascii="Times New Roman" w:hAnsi="Times New Roman" w:cs="Times New Roman"/>
              </w:rPr>
            </w:pPr>
          </w:p>
        </w:tc>
        <w:tc>
          <w:tcPr>
            <w:tcW w:w="6949" w:type="dxa"/>
            <w:gridSpan w:val="2"/>
            <w:vAlign w:val="center"/>
          </w:tcPr>
          <w:p w14:paraId="263BA656" w14:textId="77777777" w:rsidR="00CB28ED" w:rsidRPr="001029E1" w:rsidRDefault="00CB28ED" w:rsidP="00CB28ED">
            <w:pPr>
              <w:spacing w:after="0" w:line="240" w:lineRule="auto"/>
              <w:jc w:val="both"/>
              <w:rPr>
                <w:rFonts w:ascii="Times New Roman" w:hAnsi="Times New Roman" w:cs="Times New Roman"/>
              </w:rPr>
            </w:pPr>
            <w:r w:rsidRPr="001029E1">
              <w:rPr>
                <w:rFonts w:ascii="Times New Roman" w:hAnsi="Times New Roman" w:cs="Times New Roman"/>
                <w:bCs/>
              </w:rPr>
              <w:sym w:font="Wingdings" w:char="F0A8"/>
            </w:r>
            <w:r w:rsidRPr="001029E1">
              <w:rPr>
                <w:rFonts w:ascii="Times New Roman" w:hAnsi="Times New Roman" w:cs="Times New Roman"/>
                <w:bCs/>
              </w:rPr>
              <w:t xml:space="preserve"> </w:t>
            </w:r>
            <w:r w:rsidRPr="001029E1">
              <w:rPr>
                <w:rFonts w:ascii="Times New Roman" w:hAnsi="Times New Roman" w:cs="Times New Roman"/>
              </w:rPr>
              <w:t>5</w:t>
            </w:r>
            <w:r w:rsidRPr="001029E1">
              <w:rPr>
                <w:rFonts w:ascii="Times New Roman" w:hAnsi="Times New Roman" w:cs="Times New Roman"/>
              </w:rPr>
              <w:t>、参与集中的经营者收购境外企业股权或资产的，该境外企业不在中国境内从事经济活动。</w:t>
            </w:r>
          </w:p>
        </w:tc>
      </w:tr>
      <w:tr w:rsidR="00CB28ED" w:rsidRPr="001029E1" w14:paraId="22968114" w14:textId="77777777" w:rsidTr="008F5334">
        <w:trPr>
          <w:trHeight w:val="345"/>
        </w:trPr>
        <w:tc>
          <w:tcPr>
            <w:tcW w:w="1809" w:type="dxa"/>
            <w:vMerge/>
            <w:shd w:val="clear" w:color="auto" w:fill="D9D9D9"/>
            <w:vAlign w:val="center"/>
          </w:tcPr>
          <w:p w14:paraId="2D4E1CA4" w14:textId="77777777" w:rsidR="00CB28ED" w:rsidRPr="001029E1" w:rsidRDefault="00CB28ED" w:rsidP="00CB28ED">
            <w:pPr>
              <w:rPr>
                <w:rFonts w:ascii="Times New Roman" w:hAnsi="Times New Roman" w:cs="Times New Roman"/>
              </w:rPr>
            </w:pPr>
          </w:p>
        </w:tc>
        <w:tc>
          <w:tcPr>
            <w:tcW w:w="6949" w:type="dxa"/>
            <w:gridSpan w:val="2"/>
            <w:vAlign w:val="center"/>
          </w:tcPr>
          <w:p w14:paraId="28AD7CB9" w14:textId="77777777" w:rsidR="00CB28ED" w:rsidRPr="001029E1" w:rsidRDefault="00CB28ED" w:rsidP="00CB28ED">
            <w:pPr>
              <w:spacing w:after="0" w:line="240" w:lineRule="auto"/>
              <w:jc w:val="both"/>
              <w:rPr>
                <w:rFonts w:ascii="Times New Roman" w:hAnsi="Times New Roman" w:cs="Times New Roman"/>
              </w:rPr>
            </w:pPr>
            <w:r w:rsidRPr="001029E1">
              <w:rPr>
                <w:rFonts w:ascii="Times New Roman" w:hAnsi="Times New Roman" w:cs="Times New Roman"/>
                <w:bCs/>
              </w:rPr>
              <w:sym w:font="Wingdings" w:char="F0A8"/>
            </w:r>
            <w:r w:rsidRPr="001029E1">
              <w:rPr>
                <w:rFonts w:ascii="Times New Roman" w:hAnsi="Times New Roman" w:cs="Times New Roman"/>
                <w:bCs/>
              </w:rPr>
              <w:t xml:space="preserve"> </w:t>
            </w:r>
            <w:r w:rsidRPr="001029E1">
              <w:rPr>
                <w:rFonts w:ascii="Times New Roman" w:hAnsi="Times New Roman" w:cs="Times New Roman"/>
              </w:rPr>
              <w:t>6</w:t>
            </w:r>
            <w:r w:rsidRPr="001029E1">
              <w:rPr>
                <w:rFonts w:ascii="Times New Roman" w:hAnsi="Times New Roman" w:cs="Times New Roman"/>
              </w:rPr>
              <w:t>、由两个以上的经营者共同控制的合营企业，通过集中被其中一个或一个以上经营者控制。</w:t>
            </w:r>
          </w:p>
        </w:tc>
      </w:tr>
      <w:tr w:rsidR="00CB28ED" w:rsidRPr="001029E1" w14:paraId="32B9EEFC" w14:textId="77777777" w:rsidTr="008F5334">
        <w:tc>
          <w:tcPr>
            <w:tcW w:w="1809" w:type="dxa"/>
            <w:shd w:val="clear" w:color="auto" w:fill="D9D9D9"/>
            <w:vAlign w:val="center"/>
          </w:tcPr>
          <w:p w14:paraId="02E294C4" w14:textId="77777777" w:rsidR="00CB28ED" w:rsidRPr="001029E1" w:rsidRDefault="00CB28ED" w:rsidP="00CB28ED">
            <w:pPr>
              <w:rPr>
                <w:rFonts w:ascii="Times New Roman" w:hAnsi="Times New Roman" w:cs="Times New Roman"/>
                <w:b/>
              </w:rPr>
            </w:pPr>
            <w:r w:rsidRPr="001029E1">
              <w:rPr>
                <w:rFonts w:ascii="Times New Roman" w:hAnsi="Times New Roman" w:cs="Times New Roman"/>
                <w:b/>
              </w:rPr>
              <w:t>备注</w:t>
            </w:r>
          </w:p>
        </w:tc>
        <w:tc>
          <w:tcPr>
            <w:tcW w:w="6949" w:type="dxa"/>
            <w:gridSpan w:val="2"/>
            <w:vAlign w:val="center"/>
          </w:tcPr>
          <w:p w14:paraId="2E2AF559" w14:textId="6035E5C6" w:rsidR="00B11045" w:rsidRDefault="00C552AD" w:rsidP="00C552AD">
            <w:pPr>
              <w:pStyle w:val="aa"/>
              <w:numPr>
                <w:ilvl w:val="0"/>
                <w:numId w:val="11"/>
              </w:numPr>
              <w:spacing w:after="0" w:line="240" w:lineRule="auto"/>
              <w:jc w:val="both"/>
              <w:rPr>
                <w:rFonts w:ascii="Times New Roman" w:hAnsi="Times New Roman" w:cs="Times New Roman"/>
              </w:rPr>
            </w:pPr>
            <w:r w:rsidRPr="00C552AD">
              <w:rPr>
                <w:rFonts w:ascii="Times New Roman" w:hAnsi="Times New Roman" w:cs="Times New Roman" w:hint="eastAsia"/>
              </w:rPr>
              <w:t>中国</w:t>
            </w:r>
            <w:r w:rsidR="007845EE">
              <w:rPr>
                <w:rFonts w:ascii="Times New Roman" w:hAnsi="Times New Roman" w:cs="Times New Roman" w:hint="eastAsia"/>
              </w:rPr>
              <w:t>第三方</w:t>
            </w:r>
            <w:r w:rsidRPr="00C552AD">
              <w:rPr>
                <w:rFonts w:ascii="Times New Roman" w:hAnsi="Times New Roman" w:cs="Times New Roman" w:hint="eastAsia"/>
              </w:rPr>
              <w:t>物流服务市场</w:t>
            </w:r>
          </w:p>
          <w:p w14:paraId="2134BB6F" w14:textId="0B35F8D5" w:rsidR="00C552AD" w:rsidRDefault="00C552AD" w:rsidP="00C552AD">
            <w:pPr>
              <w:pStyle w:val="aa"/>
              <w:spacing w:after="0" w:line="240" w:lineRule="auto"/>
              <w:ind w:left="360"/>
              <w:jc w:val="both"/>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019</w:t>
            </w:r>
            <w:r>
              <w:rPr>
                <w:rFonts w:ascii="Times New Roman" w:hAnsi="Times New Roman" w:cs="Times New Roman" w:hint="eastAsia"/>
              </w:rPr>
              <w:t>年顺丰泰森市场份额为【</w:t>
            </w:r>
            <w:r>
              <w:rPr>
                <w:rFonts w:ascii="Times New Roman" w:hAnsi="Times New Roman" w:cs="Times New Roman" w:hint="eastAsia"/>
              </w:rPr>
              <w:t>0-</w:t>
            </w:r>
            <w:r>
              <w:rPr>
                <w:rFonts w:ascii="Times New Roman" w:hAnsi="Times New Roman" w:cs="Times New Roman"/>
              </w:rPr>
              <w:t>5</w:t>
            </w:r>
            <w:r>
              <w:rPr>
                <w:rFonts w:ascii="Times New Roman" w:hAnsi="Times New Roman" w:cs="Times New Roman" w:hint="eastAsia"/>
              </w:rPr>
              <w:t>%</w:t>
            </w:r>
            <w:r>
              <w:rPr>
                <w:rFonts w:ascii="Times New Roman" w:hAnsi="Times New Roman" w:cs="Times New Roman" w:hint="eastAsia"/>
              </w:rPr>
              <w:t>】</w:t>
            </w:r>
          </w:p>
          <w:p w14:paraId="3097C82A" w14:textId="639143F0" w:rsidR="00C552AD" w:rsidRDefault="00C552AD" w:rsidP="00C552AD">
            <w:pPr>
              <w:pStyle w:val="aa"/>
              <w:spacing w:after="0" w:line="240" w:lineRule="auto"/>
              <w:ind w:left="360"/>
              <w:jc w:val="both"/>
              <w:rPr>
                <w:rFonts w:ascii="Times New Roman" w:hAnsi="Times New Roman" w:cs="Times New Roman"/>
              </w:rPr>
            </w:pPr>
            <w:r>
              <w:rPr>
                <w:rFonts w:ascii="Times New Roman" w:hAnsi="Times New Roman" w:cs="Times New Roman"/>
              </w:rPr>
              <w:t>2019</w:t>
            </w:r>
            <w:r>
              <w:rPr>
                <w:rFonts w:ascii="Times New Roman" w:hAnsi="Times New Roman" w:cs="Times New Roman" w:hint="eastAsia"/>
              </w:rPr>
              <w:t>年嘉里物流市场份额为</w:t>
            </w:r>
            <w:r w:rsidRPr="00C552AD">
              <w:rPr>
                <w:rFonts w:ascii="Times New Roman" w:hAnsi="Times New Roman" w:cs="Times New Roman" w:hint="eastAsia"/>
              </w:rPr>
              <w:t>【</w:t>
            </w:r>
            <w:r w:rsidRPr="00C552AD">
              <w:rPr>
                <w:rFonts w:ascii="Times New Roman" w:hAnsi="Times New Roman" w:cs="Times New Roman" w:hint="eastAsia"/>
              </w:rPr>
              <w:t>0-5%</w:t>
            </w:r>
            <w:r w:rsidRPr="00C552AD">
              <w:rPr>
                <w:rFonts w:ascii="Times New Roman" w:hAnsi="Times New Roman" w:cs="Times New Roman" w:hint="eastAsia"/>
              </w:rPr>
              <w:t>】</w:t>
            </w:r>
          </w:p>
          <w:p w14:paraId="56E84A7E" w14:textId="77777777" w:rsidR="00C552AD" w:rsidRPr="00C552AD" w:rsidRDefault="00C552AD" w:rsidP="00C552AD">
            <w:pPr>
              <w:spacing w:after="0" w:line="240" w:lineRule="auto"/>
              <w:jc w:val="both"/>
              <w:rPr>
                <w:rFonts w:ascii="Times New Roman" w:hAnsi="Times New Roman" w:cs="Times New Roman"/>
              </w:rPr>
            </w:pPr>
          </w:p>
          <w:p w14:paraId="359BB543" w14:textId="77777777" w:rsidR="00C552AD" w:rsidRDefault="00C552AD" w:rsidP="00C552AD">
            <w:pPr>
              <w:pStyle w:val="aa"/>
              <w:numPr>
                <w:ilvl w:val="0"/>
                <w:numId w:val="11"/>
              </w:numPr>
              <w:spacing w:after="0" w:line="240" w:lineRule="auto"/>
              <w:jc w:val="both"/>
              <w:rPr>
                <w:rFonts w:ascii="Times New Roman" w:hAnsi="Times New Roman" w:cs="Times New Roman"/>
              </w:rPr>
            </w:pPr>
            <w:r>
              <w:rPr>
                <w:rFonts w:ascii="Times New Roman" w:hAnsi="Times New Roman" w:cs="Times New Roman" w:hint="eastAsia"/>
              </w:rPr>
              <w:t>中国国际货运代理服务市场</w:t>
            </w:r>
          </w:p>
          <w:p w14:paraId="4B23BA8F" w14:textId="77777777" w:rsidR="00C552AD" w:rsidRPr="00C552AD" w:rsidRDefault="00C552AD" w:rsidP="00C552AD">
            <w:pPr>
              <w:pStyle w:val="aa"/>
              <w:spacing w:after="0" w:line="240" w:lineRule="auto"/>
              <w:ind w:left="360"/>
              <w:jc w:val="both"/>
              <w:rPr>
                <w:rFonts w:ascii="Times New Roman" w:hAnsi="Times New Roman" w:cs="Times New Roman"/>
              </w:rPr>
            </w:pPr>
            <w:r w:rsidRPr="00C552AD">
              <w:rPr>
                <w:rFonts w:ascii="Times New Roman" w:hAnsi="Times New Roman" w:cs="Times New Roman" w:hint="eastAsia"/>
              </w:rPr>
              <w:t>2019</w:t>
            </w:r>
            <w:r w:rsidRPr="00C552AD">
              <w:rPr>
                <w:rFonts w:ascii="Times New Roman" w:hAnsi="Times New Roman" w:cs="Times New Roman" w:hint="eastAsia"/>
              </w:rPr>
              <w:t>年顺丰泰森市场份额为【</w:t>
            </w:r>
            <w:r w:rsidRPr="00C552AD">
              <w:rPr>
                <w:rFonts w:ascii="Times New Roman" w:hAnsi="Times New Roman" w:cs="Times New Roman" w:hint="eastAsia"/>
              </w:rPr>
              <w:t>0-5%</w:t>
            </w:r>
            <w:r w:rsidRPr="00C552AD">
              <w:rPr>
                <w:rFonts w:ascii="Times New Roman" w:hAnsi="Times New Roman" w:cs="Times New Roman" w:hint="eastAsia"/>
              </w:rPr>
              <w:t>】</w:t>
            </w:r>
          </w:p>
          <w:p w14:paraId="1EBF7A0C" w14:textId="732EC039" w:rsidR="00C552AD" w:rsidRPr="00C552AD" w:rsidRDefault="00C552AD" w:rsidP="00C552AD">
            <w:pPr>
              <w:pStyle w:val="aa"/>
              <w:spacing w:after="0" w:line="240" w:lineRule="auto"/>
              <w:ind w:left="360"/>
              <w:jc w:val="both"/>
              <w:rPr>
                <w:rFonts w:ascii="Times New Roman" w:hAnsi="Times New Roman" w:cs="Times New Roman"/>
              </w:rPr>
            </w:pPr>
            <w:r w:rsidRPr="00C552AD">
              <w:rPr>
                <w:rFonts w:ascii="Times New Roman" w:hAnsi="Times New Roman" w:cs="Times New Roman" w:hint="eastAsia"/>
              </w:rPr>
              <w:t>2019</w:t>
            </w:r>
            <w:r w:rsidRPr="00C552AD">
              <w:rPr>
                <w:rFonts w:ascii="Times New Roman" w:hAnsi="Times New Roman" w:cs="Times New Roman" w:hint="eastAsia"/>
              </w:rPr>
              <w:t>年嘉里物流市场份额为【</w:t>
            </w:r>
            <w:r w:rsidRPr="00C552AD">
              <w:rPr>
                <w:rFonts w:ascii="Times New Roman" w:hAnsi="Times New Roman" w:cs="Times New Roman" w:hint="eastAsia"/>
              </w:rPr>
              <w:t>0-5%</w:t>
            </w:r>
            <w:r w:rsidRPr="00C552AD">
              <w:rPr>
                <w:rFonts w:ascii="Times New Roman" w:hAnsi="Times New Roman" w:cs="Times New Roman" w:hint="eastAsia"/>
              </w:rPr>
              <w:t>】</w:t>
            </w:r>
            <w:r>
              <w:rPr>
                <w:rFonts w:ascii="Times New Roman" w:hAnsi="Times New Roman" w:cs="Times New Roman" w:hint="eastAsia"/>
              </w:rPr>
              <w:t xml:space="preserve"> </w:t>
            </w:r>
          </w:p>
        </w:tc>
      </w:tr>
    </w:tbl>
    <w:p w14:paraId="2211FE1C" w14:textId="77777777" w:rsidR="00DD6396" w:rsidRDefault="00DD6396" w:rsidP="00122958"/>
    <w:sectPr w:rsidR="00DD6396"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A7CE00" w14:textId="77777777" w:rsidR="000B5F1C" w:rsidRDefault="000B5F1C" w:rsidP="00A5306F">
      <w:pPr>
        <w:spacing w:after="0" w:line="240" w:lineRule="auto"/>
      </w:pPr>
      <w:r>
        <w:separator/>
      </w:r>
    </w:p>
  </w:endnote>
  <w:endnote w:type="continuationSeparator" w:id="0">
    <w:p w14:paraId="413369DB" w14:textId="77777777" w:rsidR="000B5F1C" w:rsidRDefault="000B5F1C"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D99111" w14:textId="77777777" w:rsidR="000B5F1C" w:rsidRDefault="000B5F1C" w:rsidP="00A5306F">
      <w:pPr>
        <w:spacing w:after="0" w:line="240" w:lineRule="auto"/>
      </w:pPr>
      <w:r>
        <w:separator/>
      </w:r>
    </w:p>
  </w:footnote>
  <w:footnote w:type="continuationSeparator" w:id="0">
    <w:p w14:paraId="4FA49771" w14:textId="77777777" w:rsidR="000B5F1C" w:rsidRDefault="000B5F1C" w:rsidP="00A5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45816A2"/>
    <w:multiLevelType w:val="hybridMultilevel"/>
    <w:tmpl w:val="F18083BE"/>
    <w:lvl w:ilvl="0" w:tplc="2282222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832139"/>
    <w:multiLevelType w:val="hybridMultilevel"/>
    <w:tmpl w:val="4498F6A6"/>
    <w:lvl w:ilvl="0" w:tplc="DEC239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8A0A6E"/>
    <w:multiLevelType w:val="hybridMultilevel"/>
    <w:tmpl w:val="42FC0C96"/>
    <w:lvl w:ilvl="0" w:tplc="3F6A396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F3C3AF5"/>
    <w:multiLevelType w:val="hybridMultilevel"/>
    <w:tmpl w:val="2344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1D184C"/>
    <w:multiLevelType w:val="multilevel"/>
    <w:tmpl w:val="5396F97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5C6C6C49"/>
    <w:multiLevelType w:val="hybridMultilevel"/>
    <w:tmpl w:val="3BC42406"/>
    <w:lvl w:ilvl="0" w:tplc="3F6A396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754528"/>
    <w:multiLevelType w:val="hybridMultilevel"/>
    <w:tmpl w:val="DADA587C"/>
    <w:lvl w:ilvl="0" w:tplc="5128F108">
      <w:start w:val="2"/>
      <w:numFmt w:val="bullet"/>
      <w:lvlText w:val="-"/>
      <w:lvlJc w:val="left"/>
      <w:pPr>
        <w:ind w:left="780" w:hanging="36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 w:numId="2">
    <w:abstractNumId w:val="5"/>
  </w:num>
  <w:num w:numId="3">
    <w:abstractNumId w:val="9"/>
  </w:num>
  <w:num w:numId="4">
    <w:abstractNumId w:val="6"/>
  </w:num>
  <w:num w:numId="5">
    <w:abstractNumId w:val="4"/>
  </w:num>
  <w:num w:numId="6">
    <w:abstractNumId w:val="7"/>
  </w:num>
  <w:num w:numId="7">
    <w:abstractNumId w:val="3"/>
  </w:num>
  <w:num w:numId="8">
    <w:abstractNumId w:val="8"/>
  </w:num>
  <w:num w:numId="9">
    <w:abstractNumId w:val="10"/>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oNotTrackMoves/>
  <w:doNotTrackFormatting/>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6F"/>
    <w:rsid w:val="00001785"/>
    <w:rsid w:val="00026221"/>
    <w:rsid w:val="0002711F"/>
    <w:rsid w:val="000418E3"/>
    <w:rsid w:val="00064BFF"/>
    <w:rsid w:val="00064C29"/>
    <w:rsid w:val="00066183"/>
    <w:rsid w:val="000661E9"/>
    <w:rsid w:val="00074058"/>
    <w:rsid w:val="000839F2"/>
    <w:rsid w:val="000860A2"/>
    <w:rsid w:val="000860C5"/>
    <w:rsid w:val="0008695F"/>
    <w:rsid w:val="00087D6D"/>
    <w:rsid w:val="00091B54"/>
    <w:rsid w:val="000A36B1"/>
    <w:rsid w:val="000B5F1C"/>
    <w:rsid w:val="000C18E5"/>
    <w:rsid w:val="000C73B2"/>
    <w:rsid w:val="000E2884"/>
    <w:rsid w:val="000F42BF"/>
    <w:rsid w:val="000F441C"/>
    <w:rsid w:val="001029E1"/>
    <w:rsid w:val="00113737"/>
    <w:rsid w:val="001171D7"/>
    <w:rsid w:val="00122958"/>
    <w:rsid w:val="00142266"/>
    <w:rsid w:val="00170258"/>
    <w:rsid w:val="00175369"/>
    <w:rsid w:val="00182C34"/>
    <w:rsid w:val="00191996"/>
    <w:rsid w:val="00197BCC"/>
    <w:rsid w:val="001B5A55"/>
    <w:rsid w:val="001D1D74"/>
    <w:rsid w:val="001D4D74"/>
    <w:rsid w:val="002018BC"/>
    <w:rsid w:val="002056BF"/>
    <w:rsid w:val="00215368"/>
    <w:rsid w:val="002617F7"/>
    <w:rsid w:val="002677D8"/>
    <w:rsid w:val="002A27F3"/>
    <w:rsid w:val="002B3632"/>
    <w:rsid w:val="002B41C8"/>
    <w:rsid w:val="002B67B5"/>
    <w:rsid w:val="002D1108"/>
    <w:rsid w:val="002D3661"/>
    <w:rsid w:val="002E17F6"/>
    <w:rsid w:val="002E3BCC"/>
    <w:rsid w:val="00316062"/>
    <w:rsid w:val="003169F1"/>
    <w:rsid w:val="00334FE7"/>
    <w:rsid w:val="00361694"/>
    <w:rsid w:val="00370FB1"/>
    <w:rsid w:val="0037245C"/>
    <w:rsid w:val="003746A2"/>
    <w:rsid w:val="00375C89"/>
    <w:rsid w:val="00382DA9"/>
    <w:rsid w:val="003938C1"/>
    <w:rsid w:val="003A1271"/>
    <w:rsid w:val="003A5D08"/>
    <w:rsid w:val="003B450D"/>
    <w:rsid w:val="003D0A5C"/>
    <w:rsid w:val="003D72CC"/>
    <w:rsid w:val="003F3764"/>
    <w:rsid w:val="00402E3E"/>
    <w:rsid w:val="004146CE"/>
    <w:rsid w:val="004245DB"/>
    <w:rsid w:val="0042472B"/>
    <w:rsid w:val="00457236"/>
    <w:rsid w:val="0046447F"/>
    <w:rsid w:val="004772C9"/>
    <w:rsid w:val="004A21C9"/>
    <w:rsid w:val="004A40CA"/>
    <w:rsid w:val="004A445C"/>
    <w:rsid w:val="004C6D2E"/>
    <w:rsid w:val="004E07A6"/>
    <w:rsid w:val="004E4B50"/>
    <w:rsid w:val="00511E51"/>
    <w:rsid w:val="005126AF"/>
    <w:rsid w:val="005152DE"/>
    <w:rsid w:val="005224B2"/>
    <w:rsid w:val="00532DF1"/>
    <w:rsid w:val="00535591"/>
    <w:rsid w:val="00546467"/>
    <w:rsid w:val="0056136A"/>
    <w:rsid w:val="00561D62"/>
    <w:rsid w:val="00563FFD"/>
    <w:rsid w:val="00570552"/>
    <w:rsid w:val="00582916"/>
    <w:rsid w:val="005A1EA4"/>
    <w:rsid w:val="005B02C3"/>
    <w:rsid w:val="005B6265"/>
    <w:rsid w:val="005C3A3C"/>
    <w:rsid w:val="005D392E"/>
    <w:rsid w:val="005D7E18"/>
    <w:rsid w:val="005F056B"/>
    <w:rsid w:val="00612EA5"/>
    <w:rsid w:val="00620EBE"/>
    <w:rsid w:val="00644704"/>
    <w:rsid w:val="00653F80"/>
    <w:rsid w:val="006734A3"/>
    <w:rsid w:val="006853E1"/>
    <w:rsid w:val="00691A05"/>
    <w:rsid w:val="0069400F"/>
    <w:rsid w:val="006B115A"/>
    <w:rsid w:val="006B3173"/>
    <w:rsid w:val="006C07EE"/>
    <w:rsid w:val="006C1C7B"/>
    <w:rsid w:val="006C3EF6"/>
    <w:rsid w:val="006D6A1D"/>
    <w:rsid w:val="006E3550"/>
    <w:rsid w:val="006E430F"/>
    <w:rsid w:val="006F39D9"/>
    <w:rsid w:val="006F7CBA"/>
    <w:rsid w:val="007063A5"/>
    <w:rsid w:val="00715C23"/>
    <w:rsid w:val="00720EC6"/>
    <w:rsid w:val="00721D2F"/>
    <w:rsid w:val="0075696E"/>
    <w:rsid w:val="007663D6"/>
    <w:rsid w:val="0077295A"/>
    <w:rsid w:val="00774458"/>
    <w:rsid w:val="007845EE"/>
    <w:rsid w:val="007929BA"/>
    <w:rsid w:val="00792E51"/>
    <w:rsid w:val="007B1044"/>
    <w:rsid w:val="007C3328"/>
    <w:rsid w:val="007D75F4"/>
    <w:rsid w:val="00815CF8"/>
    <w:rsid w:val="0082508A"/>
    <w:rsid w:val="0082591A"/>
    <w:rsid w:val="00826312"/>
    <w:rsid w:val="00826506"/>
    <w:rsid w:val="00855FEC"/>
    <w:rsid w:val="008661DC"/>
    <w:rsid w:val="00895B87"/>
    <w:rsid w:val="008A764D"/>
    <w:rsid w:val="008D144E"/>
    <w:rsid w:val="008E494F"/>
    <w:rsid w:val="008F159A"/>
    <w:rsid w:val="008F5334"/>
    <w:rsid w:val="00907543"/>
    <w:rsid w:val="0091107C"/>
    <w:rsid w:val="0091263F"/>
    <w:rsid w:val="00922AC2"/>
    <w:rsid w:val="00925B9C"/>
    <w:rsid w:val="009260DA"/>
    <w:rsid w:val="00930E2A"/>
    <w:rsid w:val="0093164E"/>
    <w:rsid w:val="00935670"/>
    <w:rsid w:val="00935D0C"/>
    <w:rsid w:val="00945C50"/>
    <w:rsid w:val="00950B17"/>
    <w:rsid w:val="00953C0F"/>
    <w:rsid w:val="00972A08"/>
    <w:rsid w:val="00972CA1"/>
    <w:rsid w:val="00976A3C"/>
    <w:rsid w:val="00984143"/>
    <w:rsid w:val="009870A6"/>
    <w:rsid w:val="00992F70"/>
    <w:rsid w:val="009A66FD"/>
    <w:rsid w:val="009B35A5"/>
    <w:rsid w:val="009B4F19"/>
    <w:rsid w:val="009C31BB"/>
    <w:rsid w:val="009D0AF3"/>
    <w:rsid w:val="009D55CA"/>
    <w:rsid w:val="00A00955"/>
    <w:rsid w:val="00A04809"/>
    <w:rsid w:val="00A0579E"/>
    <w:rsid w:val="00A34ADE"/>
    <w:rsid w:val="00A34D83"/>
    <w:rsid w:val="00A46A3F"/>
    <w:rsid w:val="00A47788"/>
    <w:rsid w:val="00A5306F"/>
    <w:rsid w:val="00A62EE7"/>
    <w:rsid w:val="00A67952"/>
    <w:rsid w:val="00A831FD"/>
    <w:rsid w:val="00AA2F59"/>
    <w:rsid w:val="00AA7A19"/>
    <w:rsid w:val="00AB1EA5"/>
    <w:rsid w:val="00AD1C2B"/>
    <w:rsid w:val="00AD43A4"/>
    <w:rsid w:val="00AD52B4"/>
    <w:rsid w:val="00AE2D98"/>
    <w:rsid w:val="00AF0CA2"/>
    <w:rsid w:val="00AF3A86"/>
    <w:rsid w:val="00B06C1D"/>
    <w:rsid w:val="00B06D72"/>
    <w:rsid w:val="00B11045"/>
    <w:rsid w:val="00B134C4"/>
    <w:rsid w:val="00B43252"/>
    <w:rsid w:val="00B61127"/>
    <w:rsid w:val="00B731FC"/>
    <w:rsid w:val="00B83CD0"/>
    <w:rsid w:val="00B9434A"/>
    <w:rsid w:val="00BA48AB"/>
    <w:rsid w:val="00BB7E5B"/>
    <w:rsid w:val="00BC0D10"/>
    <w:rsid w:val="00BD17F8"/>
    <w:rsid w:val="00BE466D"/>
    <w:rsid w:val="00BF016A"/>
    <w:rsid w:val="00BF2125"/>
    <w:rsid w:val="00BF2251"/>
    <w:rsid w:val="00BF2D0C"/>
    <w:rsid w:val="00BF5029"/>
    <w:rsid w:val="00C02B9F"/>
    <w:rsid w:val="00C03537"/>
    <w:rsid w:val="00C21BDC"/>
    <w:rsid w:val="00C43F73"/>
    <w:rsid w:val="00C549B1"/>
    <w:rsid w:val="00C552AD"/>
    <w:rsid w:val="00C66F53"/>
    <w:rsid w:val="00C81F93"/>
    <w:rsid w:val="00C87663"/>
    <w:rsid w:val="00CB28ED"/>
    <w:rsid w:val="00CD025F"/>
    <w:rsid w:val="00CD06A3"/>
    <w:rsid w:val="00CE1E63"/>
    <w:rsid w:val="00CE4EB5"/>
    <w:rsid w:val="00CF0F7F"/>
    <w:rsid w:val="00D007B3"/>
    <w:rsid w:val="00D11851"/>
    <w:rsid w:val="00D24222"/>
    <w:rsid w:val="00D350D3"/>
    <w:rsid w:val="00D4315F"/>
    <w:rsid w:val="00D63B59"/>
    <w:rsid w:val="00D8177E"/>
    <w:rsid w:val="00D850EB"/>
    <w:rsid w:val="00DA2783"/>
    <w:rsid w:val="00DA34F8"/>
    <w:rsid w:val="00DB482A"/>
    <w:rsid w:val="00DC3F9E"/>
    <w:rsid w:val="00DD6396"/>
    <w:rsid w:val="00DD7400"/>
    <w:rsid w:val="00DE39A5"/>
    <w:rsid w:val="00DE5E45"/>
    <w:rsid w:val="00E01704"/>
    <w:rsid w:val="00E079F8"/>
    <w:rsid w:val="00E13C10"/>
    <w:rsid w:val="00E21DA9"/>
    <w:rsid w:val="00E305CB"/>
    <w:rsid w:val="00E50F94"/>
    <w:rsid w:val="00E55AFE"/>
    <w:rsid w:val="00E57734"/>
    <w:rsid w:val="00E630DD"/>
    <w:rsid w:val="00E64AA3"/>
    <w:rsid w:val="00E8139C"/>
    <w:rsid w:val="00E82954"/>
    <w:rsid w:val="00E84601"/>
    <w:rsid w:val="00EA2905"/>
    <w:rsid w:val="00EB3068"/>
    <w:rsid w:val="00EC003A"/>
    <w:rsid w:val="00ED380F"/>
    <w:rsid w:val="00EE24DE"/>
    <w:rsid w:val="00EE6EB7"/>
    <w:rsid w:val="00EE7E6F"/>
    <w:rsid w:val="00EF2592"/>
    <w:rsid w:val="00F0519E"/>
    <w:rsid w:val="00F11AF8"/>
    <w:rsid w:val="00F35C37"/>
    <w:rsid w:val="00F45D26"/>
    <w:rsid w:val="00F8134E"/>
    <w:rsid w:val="00F8299C"/>
    <w:rsid w:val="00F93F1A"/>
    <w:rsid w:val="00FB7123"/>
    <w:rsid w:val="00FD1E22"/>
    <w:rsid w:val="00FD7E60"/>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125FC6"/>
  <w15:docId w15:val="{9197424A-5B38-41F1-AFA6-EC4766A2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31B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306F"/>
    <w:pPr>
      <w:tabs>
        <w:tab w:val="center" w:pos="4320"/>
        <w:tab w:val="right" w:pos="8640"/>
      </w:tabs>
      <w:spacing w:after="0" w:line="240" w:lineRule="auto"/>
    </w:pPr>
  </w:style>
  <w:style w:type="character" w:customStyle="1" w:styleId="a4">
    <w:name w:val="页眉 字符"/>
    <w:basedOn w:val="a0"/>
    <w:link w:val="a3"/>
    <w:uiPriority w:val="99"/>
    <w:rsid w:val="00A5306F"/>
  </w:style>
  <w:style w:type="paragraph" w:styleId="a5">
    <w:name w:val="footer"/>
    <w:basedOn w:val="a"/>
    <w:link w:val="a6"/>
    <w:uiPriority w:val="99"/>
    <w:unhideWhenUsed/>
    <w:rsid w:val="00A5306F"/>
    <w:pPr>
      <w:tabs>
        <w:tab w:val="center" w:pos="4320"/>
        <w:tab w:val="right" w:pos="8640"/>
      </w:tabs>
      <w:spacing w:after="0" w:line="240" w:lineRule="auto"/>
    </w:pPr>
  </w:style>
  <w:style w:type="character" w:customStyle="1" w:styleId="a6">
    <w:name w:val="页脚 字符"/>
    <w:basedOn w:val="a0"/>
    <w:link w:val="a5"/>
    <w:uiPriority w:val="99"/>
    <w:rsid w:val="00A5306F"/>
  </w:style>
  <w:style w:type="paragraph" w:styleId="a7">
    <w:name w:val="footnote text"/>
    <w:aliases w:val="Car,fn,Footnote Text Char Car,ALTS FOOTNOTE,Mod-Footnote Text,ALTS FOOTNOTE Char,Footnote Text Char1 Char,Footnote Text Char Char1 Char,ft Char Char Char,Footnote Text Char3 Char Char Char,Texto nota pie Car,Char Char,F"/>
    <w:basedOn w:val="a"/>
    <w:link w:val="a8"/>
    <w:qFormat/>
    <w:rsid w:val="00DC3F9E"/>
    <w:pPr>
      <w:widowControl w:val="0"/>
      <w:snapToGrid w:val="0"/>
      <w:spacing w:after="0" w:line="240" w:lineRule="auto"/>
    </w:pPr>
    <w:rPr>
      <w:rFonts w:ascii="Times New Roman" w:eastAsia="宋体" w:hAnsi="Times New Roman" w:cs="Times New Roman"/>
      <w:kern w:val="2"/>
      <w:sz w:val="18"/>
      <w:szCs w:val="18"/>
    </w:rPr>
  </w:style>
  <w:style w:type="character" w:customStyle="1" w:styleId="a8">
    <w:name w:val="脚注文本 字符"/>
    <w:aliases w:val="Car 字符,fn 字符,Footnote Text Char Car 字符,ALTS FOOTNOTE 字符,Mod-Footnote Text 字符,ALTS FOOTNOTE Char 字符,Footnote Text Char1 Char 字符,Footnote Text Char Char1 Char 字符,ft Char Char Char 字符,Footnote Text Char3 Char Char Char 字符,Texto nota pie Car 字符,F 字符"/>
    <w:basedOn w:val="a0"/>
    <w:link w:val="a7"/>
    <w:rsid w:val="00DC3F9E"/>
    <w:rPr>
      <w:rFonts w:ascii="Times New Roman" w:eastAsia="宋体" w:hAnsi="Times New Roman" w:cs="Times New Roman"/>
      <w:kern w:val="2"/>
      <w:sz w:val="18"/>
      <w:szCs w:val="18"/>
      <w:lang w:bidi="ar-SA"/>
    </w:rPr>
  </w:style>
  <w:style w:type="character" w:styleId="a9">
    <w:name w:val="footnote reference"/>
    <w:aliases w:val="-E Fußnotenzeichen,(NECG) Footnote Reference,fr,o,FC"/>
    <w:uiPriority w:val="99"/>
    <w:rsid w:val="00DC3F9E"/>
    <w:rPr>
      <w:vertAlign w:val="superscript"/>
    </w:rPr>
  </w:style>
  <w:style w:type="paragraph" w:styleId="aa">
    <w:name w:val="List Paragraph"/>
    <w:basedOn w:val="a"/>
    <w:uiPriority w:val="34"/>
    <w:qFormat/>
    <w:rsid w:val="00826312"/>
    <w:pPr>
      <w:ind w:left="720"/>
      <w:contextualSpacing/>
    </w:pPr>
  </w:style>
  <w:style w:type="character" w:styleId="ab">
    <w:name w:val="Hyperlink"/>
    <w:uiPriority w:val="99"/>
    <w:rsid w:val="00AD52B4"/>
    <w:rPr>
      <w:color w:val="0000FF"/>
      <w:u w:val="single"/>
    </w:rPr>
  </w:style>
  <w:style w:type="paragraph" w:styleId="ac">
    <w:name w:val="Normal Indent"/>
    <w:basedOn w:val="a"/>
    <w:link w:val="ad"/>
    <w:uiPriority w:val="99"/>
    <w:unhideWhenUsed/>
    <w:rsid w:val="00563FFD"/>
    <w:pPr>
      <w:spacing w:after="0" w:line="240" w:lineRule="auto"/>
      <w:ind w:left="720"/>
    </w:pPr>
    <w:rPr>
      <w:rFonts w:ascii="Calibri" w:eastAsia="MS Mincho" w:hAnsi="Calibri" w:cs="Times New Roman"/>
      <w:sz w:val="20"/>
      <w:szCs w:val="20"/>
      <w:lang w:eastAsia="en-US"/>
    </w:rPr>
  </w:style>
  <w:style w:type="character" w:customStyle="1" w:styleId="ad">
    <w:name w:val="正文缩进 字符"/>
    <w:link w:val="ac"/>
    <w:uiPriority w:val="99"/>
    <w:rsid w:val="00563FFD"/>
    <w:rPr>
      <w:rFonts w:ascii="Calibri" w:eastAsia="MS Mincho" w:hAnsi="Calibri" w:cs="Times New Roman"/>
      <w:sz w:val="20"/>
      <w:szCs w:val="20"/>
      <w:lang w:eastAsia="en-US"/>
    </w:rPr>
  </w:style>
  <w:style w:type="paragraph" w:styleId="ae">
    <w:name w:val="Revision"/>
    <w:hidden/>
    <w:uiPriority w:val="99"/>
    <w:semiHidden/>
    <w:rsid w:val="00563FFD"/>
    <w:pPr>
      <w:spacing w:after="0" w:line="240" w:lineRule="auto"/>
    </w:pPr>
    <w:rPr>
      <w:rFonts w:ascii="Times New Roman" w:eastAsia="宋体" w:hAnsi="Times New Roman" w:cs="Times New Roman"/>
      <w:kern w:val="2"/>
      <w:sz w:val="21"/>
      <w:szCs w:val="24"/>
    </w:rPr>
  </w:style>
  <w:style w:type="paragraph" w:styleId="af">
    <w:name w:val="Balloon Text"/>
    <w:basedOn w:val="a"/>
    <w:link w:val="af0"/>
    <w:uiPriority w:val="99"/>
    <w:semiHidden/>
    <w:unhideWhenUsed/>
    <w:rsid w:val="00BF016A"/>
    <w:pPr>
      <w:spacing w:after="0" w:line="240" w:lineRule="auto"/>
    </w:pPr>
    <w:rPr>
      <w:rFonts w:ascii="Tahoma" w:hAnsi="Tahoma" w:cs="Tahoma"/>
      <w:sz w:val="16"/>
      <w:szCs w:val="16"/>
    </w:rPr>
  </w:style>
  <w:style w:type="character" w:customStyle="1" w:styleId="af0">
    <w:name w:val="批注框文本 字符"/>
    <w:basedOn w:val="a0"/>
    <w:link w:val="af"/>
    <w:uiPriority w:val="99"/>
    <w:semiHidden/>
    <w:rsid w:val="00BF016A"/>
    <w:rPr>
      <w:rFonts w:ascii="Tahoma" w:hAnsi="Tahoma" w:cs="Tahoma"/>
      <w:sz w:val="16"/>
      <w:szCs w:val="16"/>
    </w:rPr>
  </w:style>
  <w:style w:type="table" w:styleId="af1">
    <w:name w:val="Table Grid"/>
    <w:basedOn w:val="a1"/>
    <w:uiPriority w:val="59"/>
    <w:rsid w:val="00B110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Yuen, Justin</dc:creator>
  <cp:lastModifiedBy>莉 肖</cp:lastModifiedBy>
  <cp:revision>8</cp:revision>
  <dcterms:created xsi:type="dcterms:W3CDTF">2021-03-15T03:06:00Z</dcterms:created>
  <dcterms:modified xsi:type="dcterms:W3CDTF">2021-03-24T08:13:00Z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10700678</vt:lpwstr>
  </property>
  <property fmtid="{D5CDD505-2E9C-101B-9397-08002B2CF9AE}" pid="3" name="DEDocumentLocation">
    <vt:lpwstr>C:\Users\kgooi\AppData\Local\Linklaters\DocExplorer\Attachments\210315_嘉里物流简易案件公示表.docx</vt:lpwstr>
  </property>
  <property fmtid="{D5CDD505-2E9C-101B-9397-08002B2CF9AE}" pid="4" name="Document Number">
    <vt:lpwstr>A44014988</vt:lpwstr>
  </property>
  <property fmtid="{D5CDD505-2E9C-101B-9397-08002B2CF9AE}" pid="5" name="Last Modified">
    <vt:lpwstr>16 Mar 2021</vt:lpwstr>
  </property>
  <property fmtid="{D5CDD505-2E9C-101B-9397-08002B2CF9AE}" pid="6" name="Matter Number">
    <vt:lpwstr>L-305900</vt:lpwstr>
  </property>
  <property fmtid="{D5CDD505-2E9C-101B-9397-08002B2CF9AE}" pid="7" name="Mode">
    <vt:lpwstr>SendAs</vt:lpwstr>
  </property>
  <property fmtid="{D5CDD505-2E9C-101B-9397-08002B2CF9AE}" pid="8" name="Version">
    <vt:lpwstr>0.2</vt:lpwstr>
  </property>
  <property fmtid="{D5CDD505-2E9C-101B-9397-08002B2CF9AE}" pid="9" name="ObjectID">
    <vt:lpwstr>09001dc89584f23d</vt:lpwstr>
  </property>
</Properties>
</file>