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华文仿宋" w:hAnsi="华文仿宋" w:eastAsia="华文仿宋"/>
          <w:b/>
          <w:sz w:val="32"/>
          <w:szCs w:val="30"/>
        </w:rPr>
      </w:pPr>
      <w:r>
        <w:rPr>
          <w:rFonts w:ascii="华文仿宋" w:hAnsi="华文仿宋" w:eastAsia="华文仿宋"/>
          <w:b/>
          <w:sz w:val="32"/>
          <w:szCs w:val="30"/>
        </w:rPr>
        <w:t>经营者集中简易案件公示表</w:t>
      </w:r>
    </w:p>
    <w:tbl>
      <w:tblPr>
        <w:tblStyle w:val="7"/>
        <w:tblW w:w="89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172"/>
        <w:gridCol w:w="51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shd w:val="clear" w:color="auto" w:fill="D9D9D9"/>
            <w:vAlign w:val="center"/>
          </w:tcPr>
          <w:p>
            <w:pPr>
              <w:pStyle w:val="2"/>
              <w:jc w:val="left"/>
              <w:rPr>
                <w:rFonts w:ascii="华文仿宋" w:hAnsi="华文仿宋" w:eastAsia="华文仿宋" w:cs="Times New Roman"/>
                <w:b/>
                <w:szCs w:val="20"/>
                <w:lang w:val="en-US"/>
              </w:rPr>
            </w:pPr>
            <w:r>
              <w:rPr>
                <w:rFonts w:ascii="华文仿宋" w:hAnsi="华文仿宋" w:eastAsia="华文仿宋" w:cs="Times New Roman"/>
                <w:b/>
                <w:szCs w:val="20"/>
                <w:lang w:val="en-GB"/>
              </w:rPr>
              <w:t>案件名称</w:t>
            </w:r>
          </w:p>
        </w:tc>
        <w:tc>
          <w:tcPr>
            <w:tcW w:w="7275" w:type="dxa"/>
            <w:gridSpan w:val="2"/>
            <w:shd w:val="clear" w:color="auto" w:fill="auto"/>
          </w:tcPr>
          <w:p>
            <w:pPr>
              <w:tabs>
                <w:tab w:val="left" w:pos="720"/>
              </w:tabs>
              <w:spacing w:after="180"/>
              <w:rPr>
                <w:rFonts w:eastAsia="华文仿宋"/>
                <w:kern w:val="2"/>
              </w:rPr>
            </w:pPr>
            <w:r>
              <w:rPr>
                <w:rFonts w:hint="eastAsia" w:eastAsia="华文仿宋"/>
              </w:rPr>
              <w:t>巴斯夫股份公司与罗伯特·博世有限公司新设合营企业案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656" w:type="dxa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Cs w:val="20"/>
                <w:lang w:val="en-US" w:eastAsia="zh-CN"/>
              </w:rPr>
            </w:pPr>
            <w:r>
              <w:rPr>
                <w:rFonts w:ascii="华文仿宋" w:hAnsi="华文仿宋" w:eastAsia="华文仿宋" w:cs="Times New Roman"/>
                <w:b/>
                <w:szCs w:val="20"/>
                <w:lang w:val="en-GB" w:eastAsia="zh-CN"/>
              </w:rPr>
              <w:t>交易概况（限200字内）</w:t>
            </w:r>
          </w:p>
        </w:tc>
        <w:tc>
          <w:tcPr>
            <w:tcW w:w="7275" w:type="dxa"/>
            <w:gridSpan w:val="2"/>
            <w:shd w:val="clear" w:color="auto" w:fill="auto"/>
          </w:tcPr>
          <w:p>
            <w:pPr>
              <w:tabs>
                <w:tab w:val="left" w:pos="720"/>
              </w:tabs>
              <w:spacing w:after="180"/>
              <w:rPr>
                <w:rFonts w:eastAsia="华文仿宋"/>
                <w:kern w:val="2"/>
              </w:rPr>
            </w:pPr>
            <w:r>
              <w:rPr>
                <w:rFonts w:hint="eastAsia" w:eastAsia="华文仿宋"/>
              </w:rPr>
              <w:t>巴斯夫股份公司</w:t>
            </w:r>
            <w:r>
              <w:rPr>
                <w:rFonts w:eastAsia="华文仿宋"/>
                <w:kern w:val="2"/>
              </w:rPr>
              <w:t>（通过</w:t>
            </w:r>
            <w:r>
              <w:rPr>
                <w:rFonts w:hint="eastAsia" w:eastAsia="华文仿宋"/>
                <w:kern w:val="2"/>
              </w:rPr>
              <w:t>巴斯夫数字农业有限公司</w:t>
            </w:r>
            <w:r>
              <w:rPr>
                <w:rFonts w:eastAsia="华文仿宋"/>
                <w:kern w:val="2"/>
              </w:rPr>
              <w:t>）和</w:t>
            </w:r>
            <w:r>
              <w:rPr>
                <w:rFonts w:hint="eastAsia" w:eastAsia="华文仿宋"/>
              </w:rPr>
              <w:t>罗伯特·博世有限公司</w:t>
            </w:r>
            <w:r>
              <w:rPr>
                <w:rFonts w:hint="eastAsia" w:eastAsia="华文仿宋"/>
                <w:kern w:val="2"/>
              </w:rPr>
              <w:t>将在</w:t>
            </w:r>
            <w:bookmarkStart w:id="0" w:name="_GoBack"/>
            <w:bookmarkEnd w:id="0"/>
            <w:r>
              <w:rPr>
                <w:rFonts w:hint="eastAsia" w:eastAsia="华文仿宋"/>
                <w:kern w:val="2"/>
              </w:rPr>
              <w:t xml:space="preserve">德国新设一家合营企业，营销双方合作开发的“联合解决方案” </w:t>
            </w:r>
            <w:r>
              <w:rPr>
                <w:rFonts w:eastAsia="华文仿宋"/>
                <w:kern w:val="2"/>
              </w:rPr>
              <w:t xml:space="preserve">– </w:t>
            </w:r>
            <w:r>
              <w:rPr>
                <w:rFonts w:hint="eastAsia" w:eastAsia="华文仿宋"/>
                <w:kern w:val="2"/>
              </w:rPr>
              <w:t>初期包括“精准喷涂联合解决方案”和“精准种植联合解决方案”，覆盖博世的精准喷洒/种植系统与巴斯夫的智能种植和智能喷洒相关数字农业软件。</w:t>
            </w:r>
          </w:p>
          <w:p>
            <w:pPr>
              <w:tabs>
                <w:tab w:val="left" w:pos="720"/>
              </w:tabs>
              <w:spacing w:after="180"/>
              <w:rPr>
                <w:rFonts w:eastAsia="华文仿宋"/>
                <w:kern w:val="2"/>
              </w:rPr>
            </w:pPr>
            <w:r>
              <w:rPr>
                <w:rFonts w:hint="eastAsia" w:eastAsia="华文仿宋"/>
                <w:kern w:val="2"/>
              </w:rPr>
              <w:t>巴斯夫和博世将共同控制合营企业。合营企业将仅具有营销，销售和分销功能。</w:t>
            </w:r>
          </w:p>
          <w:p>
            <w:pPr>
              <w:tabs>
                <w:tab w:val="left" w:pos="720"/>
              </w:tabs>
              <w:spacing w:after="180"/>
              <w:rPr>
                <w:rFonts w:eastAsia="华文仿宋"/>
                <w:kern w:val="2"/>
              </w:rPr>
            </w:pPr>
            <w:r>
              <w:rPr>
                <w:rFonts w:hint="eastAsia" w:eastAsia="华文仿宋"/>
                <w:kern w:val="2"/>
              </w:rPr>
              <w:t>合资企业将专注于欧洲和西半球的农业市场，不会在中国开展业务，也不会在中国销售联合解决方案。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656" w:type="dxa"/>
            <w:vMerge w:val="restart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Cs w:val="20"/>
                <w:lang w:val="en-US" w:eastAsia="zh-CN"/>
              </w:rPr>
            </w:pPr>
            <w:r>
              <w:rPr>
                <w:rFonts w:ascii="华文仿宋" w:hAnsi="华文仿宋" w:eastAsia="华文仿宋" w:cs="Times New Roman"/>
                <w:b/>
                <w:szCs w:val="20"/>
                <w:lang w:val="en-GB" w:eastAsia="zh-CN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</w:tcPr>
          <w:p>
            <w:pPr>
              <w:numPr>
                <w:ilvl w:val="0"/>
                <w:numId w:val="1"/>
              </w:numPr>
              <w:tabs>
                <w:tab w:val="left" w:pos="720"/>
              </w:tabs>
              <w:spacing w:after="180" w:line="240" w:lineRule="auto"/>
              <w:jc w:val="both"/>
              <w:rPr>
                <w:rFonts w:eastAsia="华文仿宋"/>
                <w:kern w:val="2"/>
              </w:rPr>
            </w:pPr>
            <w:r>
              <w:rPr>
                <w:rFonts w:hint="eastAsia" w:eastAsia="华文仿宋"/>
                <w:kern w:val="2"/>
              </w:rPr>
              <w:t>巴斯夫</w:t>
            </w:r>
          </w:p>
        </w:tc>
        <w:tc>
          <w:tcPr>
            <w:tcW w:w="5103" w:type="dxa"/>
            <w:shd w:val="clear" w:color="auto" w:fill="auto"/>
          </w:tcPr>
          <w:p>
            <w:pPr>
              <w:tabs>
                <w:tab w:val="left" w:pos="720"/>
              </w:tabs>
              <w:spacing w:after="180"/>
              <w:rPr>
                <w:rFonts w:ascii="Times New Roman" w:hAnsi="Times New Roman" w:eastAsia="华文仿宋" w:cs="Times New Roman"/>
                <w:kern w:val="2"/>
              </w:rPr>
            </w:pPr>
            <w:r>
              <w:rPr>
                <w:rFonts w:ascii="Times New Roman" w:hAnsi="Times New Roman" w:eastAsia="华文仿宋" w:cs="Times New Roman"/>
                <w:kern w:val="2"/>
              </w:rPr>
              <w:t>巴斯夫是一家提供化工、功能性材料、</w:t>
            </w:r>
            <w:r>
              <w:rPr>
                <w:rFonts w:hint="eastAsia" w:ascii="Times New Roman" w:hAnsi="Times New Roman" w:eastAsia="华文仿宋" w:cs="Times New Roman"/>
                <w:kern w:val="2"/>
              </w:rPr>
              <w:t>工业技术解决方案、</w:t>
            </w:r>
            <w:r>
              <w:rPr>
                <w:rFonts w:ascii="Times New Roman" w:hAnsi="Times New Roman" w:eastAsia="华文仿宋" w:cs="Times New Roman"/>
                <w:kern w:val="2"/>
              </w:rPr>
              <w:t>农业技术解决方案</w:t>
            </w:r>
            <w:r>
              <w:rPr>
                <w:rFonts w:hint="eastAsia" w:ascii="Times New Roman" w:hAnsi="Times New Roman" w:eastAsia="华文仿宋" w:cs="Times New Roman"/>
                <w:kern w:val="2"/>
              </w:rPr>
              <w:t>、表面处理技术</w:t>
            </w:r>
            <w:r>
              <w:rPr>
                <w:rFonts w:ascii="Times New Roman" w:hAnsi="Times New Roman" w:eastAsia="华文仿宋" w:cs="Times New Roman"/>
                <w:kern w:val="2"/>
              </w:rPr>
              <w:t>，以及石油天然气相关产品的企业</w:t>
            </w:r>
            <w:r>
              <w:rPr>
                <w:rFonts w:hint="eastAsia" w:ascii="Times New Roman" w:hAnsi="Times New Roman" w:eastAsia="华文仿宋" w:cs="Times New Roman"/>
                <w:kern w:val="2"/>
              </w:rPr>
              <w:t>，总部设于德国</w:t>
            </w:r>
            <w:r>
              <w:rPr>
                <w:rFonts w:ascii="Times New Roman" w:hAnsi="Times New Roman" w:eastAsia="华文仿宋" w:cs="Times New Roman"/>
                <w:kern w:val="2"/>
              </w:rPr>
              <w:t>。 巴斯夫在中国境内未有任何实体从事与本次交易相关的业务。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656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numPr>
                <w:ilvl w:val="0"/>
                <w:numId w:val="1"/>
              </w:numPr>
              <w:tabs>
                <w:tab w:val="left" w:pos="720"/>
              </w:tabs>
              <w:spacing w:after="180" w:line="240" w:lineRule="auto"/>
              <w:jc w:val="both"/>
              <w:rPr>
                <w:rFonts w:eastAsia="华文仿宋"/>
                <w:kern w:val="2"/>
              </w:rPr>
            </w:pPr>
            <w:r>
              <w:rPr>
                <w:rFonts w:hint="eastAsia" w:eastAsia="华文仿宋"/>
                <w:kern w:val="2"/>
              </w:rPr>
              <w:t>博世</w:t>
            </w:r>
          </w:p>
        </w:tc>
        <w:tc>
          <w:tcPr>
            <w:tcW w:w="5103" w:type="dxa"/>
            <w:shd w:val="clear" w:color="auto" w:fill="auto"/>
          </w:tcPr>
          <w:p>
            <w:pPr>
              <w:snapToGrid w:val="0"/>
              <w:rPr>
                <w:rFonts w:ascii="Times New Roman" w:hAnsi="Times New Roman" w:eastAsia="华文仿宋" w:cs="Times New Roman"/>
                <w:kern w:val="2"/>
              </w:rPr>
            </w:pPr>
            <w:r>
              <w:rPr>
                <w:rFonts w:ascii="Times New Roman" w:hAnsi="Times New Roman" w:eastAsia="华文仿宋" w:cs="Times New Roman"/>
                <w:kern w:val="2"/>
              </w:rPr>
              <w:t>博世是一家提供多种工业技术和服务的企业，</w:t>
            </w:r>
            <w:r>
              <w:rPr>
                <w:rFonts w:hint="eastAsia" w:ascii="Times New Roman" w:hAnsi="Times New Roman" w:eastAsia="华文仿宋" w:cs="Times New Roman"/>
                <w:kern w:val="2"/>
              </w:rPr>
              <w:t>总部设于德国</w:t>
            </w:r>
            <w:r>
              <w:rPr>
                <w:rFonts w:ascii="Times New Roman" w:hAnsi="Times New Roman" w:eastAsia="华文仿宋" w:cs="Times New Roman"/>
                <w:kern w:val="2"/>
              </w:rPr>
              <w:t>。 博世为多个行业提供移动解决方案、工业技术、消费品以及能源和建筑技术。博世在中国境内未有任何实体从事与本次交易相关的业务。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656" w:type="dxa"/>
            <w:vMerge w:val="restart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Cs w:val="20"/>
                <w:lang w:val="en-US" w:eastAsia="zh-CN"/>
              </w:rPr>
            </w:pPr>
            <w:r>
              <w:rPr>
                <w:rFonts w:ascii="华文仿宋" w:hAnsi="华文仿宋" w:eastAsia="华文仿宋" w:cs="Times New Roman"/>
                <w:b/>
                <w:szCs w:val="20"/>
                <w:lang w:val="en-GB" w:eastAsia="zh-CN"/>
              </w:rPr>
              <w:t>简易案件理由（可以单选，也可以多选）</w:t>
            </w:r>
          </w:p>
        </w:tc>
        <w:tc>
          <w:tcPr>
            <w:tcW w:w="7275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lang w:val="en-US" w:eastAsia="zh-CN"/>
              </w:rPr>
            </w:pPr>
            <w:r>
              <w:rPr>
                <w:rFonts w:eastAsia="华文仿宋" w:cs="Times New Roman"/>
                <w:lang w:val="en-GB" w:eastAsia="zh-CN"/>
              </w:rPr>
              <w:t>□</w:t>
            </w:r>
            <w:r>
              <w:rPr>
                <w:rFonts w:ascii="Arial" w:hAnsi="Arial" w:eastAsia="楷体_GB2312" w:cs="Arial"/>
                <w:lang w:val="en-GB" w:eastAsia="zh-CN"/>
              </w:rPr>
              <w:t xml:space="preserve"> </w:t>
            </w:r>
            <w:r>
              <w:rPr>
                <w:rFonts w:eastAsia="华文仿宋" w:cs="Times New Roman"/>
                <w:lang w:val="en-GB" w:eastAsia="zh-CN"/>
              </w:rPr>
              <w:t>1、在同一相关市场，所有参与集中的经营者所占市场份额之和小于</w:t>
            </w:r>
            <w:r>
              <w:rPr>
                <w:rFonts w:eastAsia="华文仿宋" w:cs="Times New Roman"/>
                <w:color w:val="000000"/>
                <w:lang w:eastAsia="zh-CN"/>
              </w:rPr>
              <w:t>15%</w:t>
            </w:r>
            <w:r>
              <w:rPr>
                <w:rFonts w:eastAsia="华文仿宋" w:cs="Times New Roman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656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lang w:val="en-US" w:eastAsia="zh-CN"/>
              </w:rPr>
            </w:pPr>
            <w:r>
              <w:rPr>
                <w:rFonts w:eastAsia="华文仿宋" w:cs="Times New Roman"/>
                <w:lang w:val="en-GB" w:eastAsia="zh-CN"/>
              </w:rPr>
              <w:t>□</w:t>
            </w:r>
            <w:r>
              <w:rPr>
                <w:rFonts w:ascii="Arial" w:hAnsi="Arial" w:eastAsia="楷体_GB2312" w:cs="Arial"/>
                <w:lang w:val="en-GB" w:eastAsia="zh-CN"/>
              </w:rPr>
              <w:t xml:space="preserve"> </w:t>
            </w:r>
            <w:r>
              <w:rPr>
                <w:rFonts w:eastAsia="华文仿宋" w:cs="Times New Roman"/>
                <w:lang w:val="en-GB" w:eastAsia="zh-CN"/>
              </w:rPr>
              <w:t>2、存在上下游关系的参与集中的经营者，在上下游市场所占的市场份额均小于</w:t>
            </w:r>
            <w:r>
              <w:rPr>
                <w:rFonts w:eastAsia="华文仿宋" w:cs="Times New Roman"/>
                <w:color w:val="000000"/>
                <w:lang w:eastAsia="zh-CN"/>
              </w:rPr>
              <w:t>25%</w:t>
            </w:r>
            <w:r>
              <w:rPr>
                <w:rFonts w:eastAsia="华文仿宋" w:cs="Times New Roman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56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lang w:val="en-US" w:eastAsia="zh-CN"/>
              </w:rPr>
            </w:pPr>
            <w:r>
              <w:rPr>
                <w:rFonts w:eastAsia="华文仿宋" w:cs="Times New Roman"/>
                <w:lang w:val="en-GB" w:eastAsia="zh-CN"/>
              </w:rPr>
              <w:t>□ 3、不在同一相关市场、也不存在上下游关系的参与集中的经营者，在与交易有关的每个市场所占的份额均小于25%。</w:t>
            </w:r>
            <w:r>
              <w:rPr>
                <w:rFonts w:hint="eastAsia" w:eastAsia="华文仿宋" w:cs="Times New Roman"/>
                <w:lang w:val="en-GB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56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lang w:val="en-US" w:eastAsia="zh-CN"/>
              </w:rPr>
            </w:pPr>
            <w:r>
              <w:rPr>
                <w:rFonts w:ascii="Arial" w:hAnsi="Arial" w:eastAsia="楷体_GB2312" w:cs="Arial"/>
                <w:lang w:val="en-GB" w:eastAsia="zh-CN"/>
              </w:rPr>
              <w:sym w:font="Wingdings" w:char="00FE"/>
            </w:r>
            <w:r>
              <w:rPr>
                <w:rFonts w:eastAsia="华文仿宋" w:cs="Times New Roman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56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lang w:val="en-US" w:eastAsia="zh-CN"/>
              </w:rPr>
            </w:pPr>
            <w:r>
              <w:rPr>
                <w:rFonts w:eastAsia="华文仿宋" w:cs="Times New Roman"/>
                <w:lang w:val="en-GB" w:eastAsia="zh-CN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656" w:type="dxa"/>
            <w:vMerge w:val="continue"/>
            <w:shd w:val="clear" w:color="auto" w:fill="D9D9D9"/>
          </w:tcPr>
          <w:p>
            <w:pPr>
              <w:pStyle w:val="2"/>
              <w:rPr>
                <w:rFonts w:ascii="华文仿宋" w:hAnsi="华文仿宋"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>
            <w:pPr>
              <w:pStyle w:val="2"/>
              <w:rPr>
                <w:rFonts w:eastAsia="华文仿宋" w:cs="Times New Roman"/>
                <w:lang w:val="en-US" w:eastAsia="zh-CN"/>
              </w:rPr>
            </w:pPr>
            <w:r>
              <w:rPr>
                <w:rFonts w:eastAsia="华文仿宋" w:cs="Times New Roman"/>
                <w:lang w:val="en-GB" w:eastAsia="zh-CN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shd w:val="clear" w:color="auto" w:fill="D9D9D9"/>
          </w:tcPr>
          <w:p>
            <w:pPr>
              <w:pStyle w:val="2"/>
              <w:spacing w:after="0"/>
              <w:rPr>
                <w:rFonts w:ascii="华文仿宋" w:hAnsi="华文仿宋" w:eastAsia="华文仿宋" w:cs="Times New Roman"/>
                <w:b/>
                <w:szCs w:val="20"/>
                <w:lang w:val="en-US"/>
              </w:rPr>
            </w:pPr>
            <w:r>
              <w:rPr>
                <w:rFonts w:ascii="华文仿宋" w:hAnsi="华文仿宋" w:eastAsia="华文仿宋" w:cs="Times New Roman"/>
                <w:b/>
                <w:szCs w:val="20"/>
                <w:lang w:val="en-GB"/>
              </w:rPr>
              <w:t>备注</w:t>
            </w:r>
          </w:p>
        </w:tc>
        <w:tc>
          <w:tcPr>
            <w:tcW w:w="7275" w:type="dxa"/>
            <w:gridSpan w:val="2"/>
            <w:shd w:val="clear" w:color="auto" w:fill="auto"/>
          </w:tcPr>
          <w:p>
            <w:pPr>
              <w:spacing w:line="500" w:lineRule="exact"/>
              <w:rPr>
                <w:rFonts w:ascii="Times New Roman" w:hAnsi="Times New Roman" w:eastAsia="仿宋_GB2312"/>
                <w:b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仿宋_GB2312"/>
                <w:b/>
                <w:sz w:val="24"/>
                <w:szCs w:val="24"/>
                <w:u w:val="single"/>
              </w:rPr>
              <w:t>相关市场界定及份额：</w:t>
            </w:r>
          </w:p>
          <w:p>
            <w:pPr>
              <w:pStyle w:val="10"/>
              <w:snapToGrid w:val="0"/>
              <w:spacing w:before="120" w:beforeLines="50" w:after="120" w:afterLines="50" w:line="240" w:lineRule="auto"/>
              <w:rPr>
                <w:rFonts w:ascii="Times New Roman" w:hAnsi="Times New Roman"/>
                <w:kern w:val="0"/>
                <w:sz w:val="22"/>
                <w:szCs w:val="22"/>
                <w:lang w:eastAsia="zh-CN" w:bidi="ar-AE"/>
              </w:rPr>
            </w:pPr>
            <w:r>
              <w:rPr>
                <w:iCs/>
                <w:sz w:val="24"/>
                <w:lang w:eastAsia="zh-CN"/>
              </w:rPr>
              <w:t>合营企业实际的商业功能将被限定为销售、 营销与分销</w:t>
            </w:r>
            <w:r>
              <w:rPr>
                <w:rFonts w:hint="eastAsia"/>
                <w:iCs/>
                <w:sz w:val="24"/>
                <w:lang w:eastAsia="zh-CN"/>
              </w:rPr>
              <w:t>双方的</w:t>
            </w:r>
            <w:r>
              <w:rPr>
                <w:iCs/>
                <w:sz w:val="24"/>
                <w:lang w:eastAsia="zh-CN"/>
              </w:rPr>
              <w:t>联合解决方案，该方案将两</w:t>
            </w:r>
            <w:r>
              <w:rPr>
                <w:rFonts w:hint="eastAsia"/>
                <w:iCs/>
                <w:sz w:val="24"/>
                <w:lang w:eastAsia="zh-CN"/>
              </w:rPr>
              <w:t>类具有互补性的</w:t>
            </w:r>
            <w:r>
              <w:rPr>
                <w:iCs/>
                <w:sz w:val="24"/>
                <w:lang w:eastAsia="zh-CN"/>
              </w:rPr>
              <w:t>产品相结合</w:t>
            </w:r>
            <w:r>
              <w:rPr>
                <w:rFonts w:hint="eastAsia" w:ascii="Times New Roman" w:hAnsi="Times New Roman"/>
                <w:kern w:val="0"/>
                <w:sz w:val="22"/>
                <w:szCs w:val="22"/>
                <w:lang w:eastAsia="zh-CN" w:bidi="ar-AE"/>
              </w:rPr>
              <w:t>。</w:t>
            </w:r>
          </w:p>
          <w:p>
            <w:pPr>
              <w:pStyle w:val="10"/>
              <w:snapToGrid w:val="0"/>
              <w:spacing w:before="120" w:beforeLines="50" w:after="120" w:afterLines="50" w:line="240" w:lineRule="auto"/>
              <w:rPr>
                <w:rFonts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>相关市场</w:t>
            </w:r>
            <w:r>
              <w:rPr>
                <w:rFonts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 xml:space="preserve">1 - </w:t>
            </w:r>
            <w:r>
              <w:rPr>
                <w:rFonts w:hint="eastAsia"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>用于农业喷雾设备的精准喷雾系统（全球市场）</w:t>
            </w:r>
          </w:p>
          <w:tbl>
            <w:tblPr>
              <w:tblStyle w:val="8"/>
              <w:tblW w:w="6718" w:type="dxa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59"/>
              <w:gridCol w:w="335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  <w:t>经营者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  <w:t>市场份额估测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000000"/>
                      <w:sz w:val="22"/>
                      <w:szCs w:val="22"/>
                      <w:lang w:val="de-DE" w:eastAsia="zh-CN" w:bidi="hi-IN"/>
                    </w:rPr>
                    <w:t xml:space="preserve">罗蒙川公司（Rometron） 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50% -55%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000000"/>
                      <w:sz w:val="22"/>
                      <w:szCs w:val="22"/>
                      <w:lang w:val="de-DE" w:eastAsia="zh-CN" w:bidi="hi-IN"/>
                    </w:rPr>
                    <w:t>天宝公司（Trimble）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40% - 55%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博世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sz w:val="22"/>
                      <w:szCs w:val="22"/>
                      <w:lang w:val="en-US" w:eastAsia="zh-CN" w:bidi="hi-IN"/>
                    </w:rPr>
                    <w:t>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巴斯夫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sz w:val="22"/>
                      <w:szCs w:val="22"/>
                      <w:lang w:val="en-US" w:eastAsia="zh-CN" w:bidi="hi-IN"/>
                    </w:rPr>
                    <w:t>无此业务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sz w:val="22"/>
                      <w:szCs w:val="22"/>
                      <w:lang w:val="en-US" w:eastAsia="zh-CN" w:bidi="hi-IN"/>
                    </w:rPr>
                    <w:t>合营企业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0%</w:t>
                  </w:r>
                </w:p>
              </w:tc>
            </w:tr>
          </w:tbl>
          <w:p>
            <w:pPr>
              <w:pStyle w:val="10"/>
              <w:snapToGrid w:val="0"/>
              <w:spacing w:before="120" w:beforeLines="50" w:after="120" w:afterLines="50" w:line="240" w:lineRule="auto"/>
              <w:rPr>
                <w:rFonts w:ascii="Times New Roman" w:hAnsi="Times New Roman"/>
                <w:kern w:val="0"/>
                <w:sz w:val="22"/>
                <w:szCs w:val="22"/>
                <w:lang w:eastAsia="zh-CN" w:bidi="ar-AE"/>
              </w:rPr>
            </w:pPr>
          </w:p>
          <w:p>
            <w:pPr>
              <w:pStyle w:val="10"/>
              <w:snapToGrid w:val="0"/>
              <w:spacing w:before="120" w:beforeLines="50" w:after="120" w:afterLines="50" w:line="240" w:lineRule="auto"/>
              <w:rPr>
                <w:rFonts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>相关市场</w:t>
            </w:r>
            <w:r>
              <w:rPr>
                <w:rFonts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 xml:space="preserve">2 - </w:t>
            </w:r>
            <w:r>
              <w:rPr>
                <w:rFonts w:hint="eastAsia"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>用于农业种植设备的精准种植系统（全球市场）</w:t>
            </w:r>
          </w:p>
          <w:tbl>
            <w:tblPr>
              <w:tblStyle w:val="8"/>
              <w:tblW w:w="6718" w:type="dxa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59"/>
              <w:gridCol w:w="335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  <w:t>经营者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  <w:t>市场份额估测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2"/>
                      <w:szCs w:val="22"/>
                      <w:lang w:val="de-DE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美国迪尔公司 (Jo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hn Deere</w:t>
                  </w: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)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25% - 30%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2"/>
                      <w:szCs w:val="22"/>
                      <w:lang w:val="de-DE" w:bidi="hi-IN"/>
                    </w:rPr>
                  </w:pPr>
                  <w:r>
                    <w:rPr>
                      <w:sz w:val="24"/>
                      <w:lang w:eastAsia="zh-CN" w:bidi="hi-IN"/>
                    </w:rPr>
                    <w:t>精准种植</w:t>
                  </w:r>
                  <w:r>
                    <w:rPr>
                      <w:rFonts w:hint="eastAsia"/>
                      <w:sz w:val="24"/>
                      <w:lang w:eastAsia="zh-CN" w:bidi="hi-IN"/>
                    </w:rPr>
                    <w:t>公司(</w:t>
                  </w:r>
                  <w:r>
                    <w:rPr>
                      <w:rFonts w:ascii="Times New Roman" w:hAnsi="Times New Roman" w:eastAsia="@楷体_GB2312"/>
                      <w:sz w:val="22"/>
                      <w:szCs w:val="22"/>
                      <w:lang w:bidi="hi-IN"/>
                    </w:rPr>
                    <w:t>Precision Planting)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25% - 30%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/>
                      <w:sz w:val="24"/>
                      <w:lang w:eastAsia="zh-CN" w:bidi="hi-IN"/>
                    </w:rPr>
                    <w:t>农业先锋公司 (</w:t>
                  </w:r>
                  <w:r>
                    <w:rPr>
                      <w:rFonts w:ascii="Times New Roman" w:hAnsi="Times New Roman" w:eastAsia="@楷体_GB2312"/>
                      <w:sz w:val="22"/>
                      <w:szCs w:val="22"/>
                      <w:lang w:eastAsia="zh-CN" w:bidi="hi-IN"/>
                    </w:rPr>
                    <w:t>Ag Leader)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15% - 20%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其他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25% - 30%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博世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0% - 5%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巴斯夫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sz w:val="22"/>
                      <w:szCs w:val="22"/>
                      <w:lang w:val="en-US" w:eastAsia="zh-CN" w:bidi="hi-IN"/>
                    </w:rPr>
                    <w:t>无此业务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sz w:val="22"/>
                      <w:szCs w:val="22"/>
                      <w:lang w:val="en-US" w:eastAsia="zh-CN" w:bidi="hi-IN"/>
                    </w:rPr>
                    <w:t>合营企业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0%</w:t>
                  </w:r>
                </w:p>
              </w:tc>
            </w:tr>
          </w:tbl>
          <w:p>
            <w:pPr>
              <w:pStyle w:val="10"/>
              <w:snapToGrid w:val="0"/>
              <w:spacing w:before="120" w:beforeLines="50" w:after="120" w:afterLines="50" w:line="240" w:lineRule="auto"/>
              <w:rPr>
                <w:rFonts w:ascii="Times New Roman" w:hAnsi="Times New Roman"/>
                <w:kern w:val="0"/>
                <w:sz w:val="22"/>
                <w:szCs w:val="22"/>
                <w:lang w:val="en-US" w:eastAsia="zh-CN" w:bidi="ar-AE"/>
              </w:rPr>
            </w:pPr>
          </w:p>
          <w:p>
            <w:pPr>
              <w:pStyle w:val="10"/>
              <w:snapToGrid w:val="0"/>
              <w:spacing w:before="120" w:beforeLines="50" w:after="120" w:afterLines="50" w:line="240" w:lineRule="auto"/>
              <w:rPr>
                <w:rFonts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>相关市场</w:t>
            </w:r>
            <w:r>
              <w:rPr>
                <w:rFonts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 xml:space="preserve">3 – </w:t>
            </w:r>
            <w:r>
              <w:rPr>
                <w:rFonts w:hint="eastAsia"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 xml:space="preserve">农业软件应用 </w:t>
            </w:r>
            <w:r>
              <w:rPr>
                <w:rFonts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>(“</w:t>
            </w:r>
            <w:r>
              <w:rPr>
                <w:rFonts w:hint="eastAsia"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>数字农业</w:t>
            </w:r>
            <w:r>
              <w:rPr>
                <w:rFonts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>”)</w:t>
            </w:r>
            <w:r>
              <w:rPr>
                <w:rFonts w:hint="eastAsia" w:ascii="Times New Roman" w:hAnsi="Times New Roman"/>
                <w:b/>
                <w:bCs/>
                <w:kern w:val="0"/>
                <w:sz w:val="22"/>
                <w:szCs w:val="22"/>
                <w:lang w:eastAsia="zh-CN" w:bidi="ar-AE"/>
              </w:rPr>
              <w:t>（全球市场）</w:t>
            </w:r>
          </w:p>
          <w:tbl>
            <w:tblPr>
              <w:tblStyle w:val="8"/>
              <w:tblW w:w="6718" w:type="dxa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59"/>
              <w:gridCol w:w="335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  <w:t>经营者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b/>
                      <w:sz w:val="22"/>
                      <w:szCs w:val="22"/>
                      <w:lang w:val="en-US" w:eastAsia="zh-CN" w:bidi="hi-IN"/>
                    </w:rPr>
                    <w:t>市场份额估测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 xml:space="preserve">拜耳集团 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(Bayer AG)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15% - 20%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美国迪尔公司 (Jo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hn Deere</w:t>
                  </w: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)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10% - 15%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先正达集团 (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Syngenta Group)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5% - 10%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 xml:space="preserve">亚拉国际 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(Yara Intl.)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5% - 10%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以色列耐特菲姆公司 (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Netafim)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5% - 10%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埃森哲 （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Accenture</w:t>
                  </w: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）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5% - 10%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000000"/>
                      <w:sz w:val="22"/>
                      <w:szCs w:val="22"/>
                      <w:lang w:val="de-DE" w:bidi="hi-IN"/>
                    </w:rPr>
                    <w:t>天宝公司（Trimble）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5% - 10%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其他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20% 25%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巴斯夫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5% - 10%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2"/>
                      <w:szCs w:val="22"/>
                      <w:lang w:val="en-US" w:eastAsia="zh-CN" w:bidi="hi-IN"/>
                    </w:rPr>
                    <w:t>博世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sz w:val="22"/>
                      <w:szCs w:val="22"/>
                      <w:lang w:val="en-US" w:eastAsia="zh-CN" w:bidi="hi-IN"/>
                    </w:rPr>
                    <w:t>无此业务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hint="eastAsia" w:ascii="Times New Roman" w:hAnsi="Times New Roman"/>
                      <w:sz w:val="22"/>
                      <w:szCs w:val="22"/>
                      <w:lang w:val="en-US" w:eastAsia="zh-CN" w:bidi="hi-IN"/>
                    </w:rPr>
                    <w:t>合营企业</w:t>
                  </w:r>
                </w:p>
              </w:tc>
              <w:tc>
                <w:tcPr>
                  <w:tcW w:w="33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10"/>
                    <w:snapToGrid w:val="0"/>
                    <w:spacing w:after="0" w:line="240" w:lineRule="auto"/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  <w:lang w:val="en-US" w:eastAsia="zh-CN" w:bidi="hi-IN"/>
                    </w:rPr>
                    <w:t>0%</w:t>
                  </w:r>
                </w:p>
              </w:tc>
            </w:tr>
          </w:tbl>
          <w:p>
            <w:pPr>
              <w:pStyle w:val="10"/>
              <w:snapToGrid w:val="0"/>
              <w:spacing w:before="120" w:beforeLines="50" w:after="120" w:afterLines="50" w:line="240" w:lineRule="auto"/>
              <w:rPr>
                <w:rFonts w:ascii="Times New Roman" w:hAnsi="Times New Roman" w:eastAsia="华文仿宋"/>
                <w:kern w:val="0"/>
                <w:sz w:val="24"/>
                <w:lang w:eastAsia="zh-CN" w:bidi="ar-AE"/>
              </w:rPr>
            </w:pPr>
          </w:p>
        </w:tc>
      </w:tr>
    </w:tbl>
    <w:p/>
    <w:sectPr>
      <w:pgSz w:w="12240" w:h="15840"/>
      <w:pgMar w:top="117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@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3751EC"/>
    <w:multiLevelType w:val="multilevel"/>
    <w:tmpl w:val="7A3751E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CB8"/>
    <w:rsid w:val="000B04FF"/>
    <w:rsid w:val="000C2543"/>
    <w:rsid w:val="001F7459"/>
    <w:rsid w:val="002E4ABA"/>
    <w:rsid w:val="00304C4C"/>
    <w:rsid w:val="004D6F61"/>
    <w:rsid w:val="004E6428"/>
    <w:rsid w:val="00501894"/>
    <w:rsid w:val="005A5383"/>
    <w:rsid w:val="0060053A"/>
    <w:rsid w:val="0065713D"/>
    <w:rsid w:val="007D3D91"/>
    <w:rsid w:val="00823F0D"/>
    <w:rsid w:val="00834559"/>
    <w:rsid w:val="008C2B40"/>
    <w:rsid w:val="00AF3E3F"/>
    <w:rsid w:val="00B8197C"/>
    <w:rsid w:val="00BB3106"/>
    <w:rsid w:val="00BB6838"/>
    <w:rsid w:val="00C41033"/>
    <w:rsid w:val="00C92F3D"/>
    <w:rsid w:val="00D40C09"/>
    <w:rsid w:val="00E45217"/>
    <w:rsid w:val="00E54F67"/>
    <w:rsid w:val="00E7370B"/>
    <w:rsid w:val="00E83D5B"/>
    <w:rsid w:val="00EF7786"/>
    <w:rsid w:val="00F01CB8"/>
    <w:rsid w:val="00F85AC9"/>
    <w:rsid w:val="06CB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uiPriority w:val="0"/>
    <w:pPr>
      <w:spacing w:after="240" w:line="240" w:lineRule="auto"/>
      <w:jc w:val="both"/>
    </w:pPr>
    <w:rPr>
      <w:rFonts w:ascii="Times New Roman" w:hAnsi="Times New Roman" w:eastAsia="宋体" w:cs="Simplified Arabic"/>
      <w:sz w:val="24"/>
      <w:szCs w:val="24"/>
      <w:lang w:val="zh-CN" w:eastAsia="en-GB" w:bidi="ar-AE"/>
    </w:rPr>
  </w:style>
  <w:style w:type="paragraph" w:styleId="3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table" w:styleId="8">
    <w:name w:val="Table Grid"/>
    <w:basedOn w:val="7"/>
    <w:qFormat/>
    <w:uiPriority w:val="39"/>
    <w:pPr>
      <w:spacing w:after="0" w:line="240" w:lineRule="auto"/>
    </w:pPr>
    <w:rPr>
      <w:rFonts w:ascii="Calibri" w:hAnsi="Calibri" w:eastAsia="宋体" w:cs="Times New Roman"/>
      <w:sz w:val="20"/>
      <w:szCs w:val="20"/>
      <w:lang w:val="en-GB" w:bidi="hi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9">
    <w:name w:val="正文文本 字符"/>
    <w:basedOn w:val="6"/>
    <w:link w:val="2"/>
    <w:uiPriority w:val="0"/>
    <w:rPr>
      <w:rFonts w:ascii="Times New Roman" w:hAnsi="Times New Roman" w:eastAsia="宋体" w:cs="Simplified Arabic"/>
      <w:sz w:val="24"/>
      <w:szCs w:val="24"/>
      <w:lang w:val="zh-CN" w:eastAsia="en-GB" w:bidi="ar-AE"/>
    </w:rPr>
  </w:style>
  <w:style w:type="paragraph" w:customStyle="1" w:styleId="10">
    <w:name w:val="Body"/>
    <w:basedOn w:val="1"/>
    <w:qFormat/>
    <w:uiPriority w:val="0"/>
    <w:pPr>
      <w:spacing w:after="140" w:line="290" w:lineRule="auto"/>
      <w:jc w:val="both"/>
    </w:pPr>
    <w:rPr>
      <w:rFonts w:ascii="Arial" w:hAnsi="Arial" w:eastAsia="宋体" w:cs="Times New Roman"/>
      <w:kern w:val="20"/>
      <w:sz w:val="20"/>
      <w:szCs w:val="24"/>
      <w:lang w:val="en-GB" w:eastAsia="en-GB"/>
    </w:rPr>
  </w:style>
  <w:style w:type="character" w:customStyle="1" w:styleId="11">
    <w:name w:val="页眉 字符"/>
    <w:basedOn w:val="6"/>
    <w:link w:val="5"/>
    <w:qFormat/>
    <w:uiPriority w:val="99"/>
  </w:style>
  <w:style w:type="character" w:customStyle="1" w:styleId="12">
    <w:name w:val="页脚 字符"/>
    <w:basedOn w:val="6"/>
    <w:link w:val="4"/>
    <w:qFormat/>
    <w:uiPriority w:val="99"/>
  </w:style>
  <w:style w:type="character" w:customStyle="1" w:styleId="13">
    <w:name w:val="批注框文本 字符"/>
    <w:basedOn w:val="6"/>
    <w:link w:val="3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DLA Piper</Company>
  <Pages>2</Pages>
  <Words>214</Words>
  <Characters>1224</Characters>
  <Lines>10</Lines>
  <Paragraphs>2</Paragraphs>
  <TotalTime>2</TotalTime>
  <ScaleCrop>false</ScaleCrop>
  <LinksUpToDate>false</LinksUpToDate>
  <CharactersWithSpaces>1436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2021-03-02T01:52:00Z</dcterms:created>
  <dc:creator>Xu, Ray</dc:creator>
  <cp:lastModifiedBy>mofcom</cp:lastModifiedBy>
  <dcterms:modified xsi:type="dcterms:W3CDTF">2021-03-03T08:30:40Z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lato EditorId">
    <vt:lpwstr>30525b7b-a315-44a0-8a8e-d0308c972481</vt:lpwstr>
  </property>
  <property fmtid="{D5CDD505-2E9C-101B-9397-08002B2CF9AE}" pid="3" name="Plato Matter Owner Designation">
    <vt:lpwstr/>
  </property>
  <property fmtid="{D5CDD505-2E9C-101B-9397-08002B2CF9AE}" pid="4" name="KSOProductBuildVer">
    <vt:lpwstr>2052-10.8.2.7129</vt:lpwstr>
  </property>
</Properties>
</file>