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"/>
        <w:rPr>
          <w:rFonts w:ascii="Times New Roman"/>
          <w:sz w:val="24"/>
        </w:rPr>
      </w:pPr>
    </w:p>
    <w:p>
      <w:pPr>
        <w:spacing w:before="58"/>
        <w:ind w:left="2632" w:right="2718" w:firstLine="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经营者集中简易案件公示表</w:t>
      </w:r>
    </w:p>
    <w:p>
      <w:pPr>
        <w:pStyle w:val="2"/>
        <w:rPr>
          <w:rFonts w:ascii="黑体"/>
          <w:sz w:val="20"/>
        </w:rPr>
      </w:pPr>
    </w:p>
    <w:tbl>
      <w:tblPr>
        <w:tblStyle w:val="4"/>
        <w:tblpPr w:leftFromText="180" w:rightFromText="180" w:vertAnchor="text" w:horzAnchor="page" w:tblpX="1710" w:tblpY="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384"/>
        <w:gridCol w:w="55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40" w:type="dxa"/>
            <w:shd w:val="clear" w:color="auto" w:fill="D9D9D9"/>
            <w:vAlign w:val="center"/>
          </w:tcPr>
          <w:p>
            <w:pPr>
              <w:pStyle w:val="8"/>
              <w:spacing w:before="181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案件名称</w:t>
            </w:r>
          </w:p>
        </w:tc>
        <w:tc>
          <w:tcPr>
            <w:tcW w:w="6918" w:type="dxa"/>
            <w:gridSpan w:val="2"/>
            <w:vAlign w:val="center"/>
          </w:tcPr>
          <w:p>
            <w:pPr>
              <w:pStyle w:val="8"/>
              <w:spacing w:before="1" w:line="500" w:lineRule="exact"/>
              <w:ind w:right="94"/>
              <w:jc w:val="center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eastAsia="宋体"/>
                <w:sz w:val="22"/>
              </w:rPr>
              <w:t>珠海华发物业管理服务有限公司与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云南融创物业服务有限公司拟</w:t>
            </w:r>
            <w:r>
              <w:rPr>
                <w:rFonts w:hint="eastAsia" w:ascii="宋体" w:eastAsia="宋体"/>
                <w:sz w:val="22"/>
              </w:rPr>
              <w:t>新设合营企业案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1840" w:type="dxa"/>
            <w:shd w:val="clear" w:color="auto" w:fill="D9D9D9"/>
            <w:vAlign w:val="center"/>
          </w:tcPr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pacing w:val="-30"/>
                <w:sz w:val="22"/>
              </w:rPr>
            </w:pPr>
            <w:r>
              <w:rPr>
                <w:b/>
                <w:bCs/>
                <w:spacing w:val="-30"/>
                <w:sz w:val="22"/>
              </w:rPr>
              <w:t>交易概况</w:t>
            </w:r>
          </w:p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pacing w:val="-3"/>
                <w:sz w:val="22"/>
              </w:rPr>
              <w:t>（</w:t>
            </w:r>
            <w:r>
              <w:rPr>
                <w:b/>
                <w:bCs/>
                <w:spacing w:val="-27"/>
                <w:sz w:val="22"/>
              </w:rPr>
              <w:t xml:space="preserve">限 </w:t>
            </w:r>
            <w:r>
              <w:rPr>
                <w:b/>
                <w:bCs/>
                <w:spacing w:val="-5"/>
                <w:sz w:val="22"/>
              </w:rPr>
              <w:t xml:space="preserve">200 </w:t>
            </w:r>
            <w:r>
              <w:rPr>
                <w:b/>
                <w:bCs/>
                <w:spacing w:val="-2"/>
                <w:sz w:val="22"/>
              </w:rPr>
              <w:t>字内</w:t>
            </w:r>
            <w:r>
              <w:rPr>
                <w:b/>
                <w:bCs/>
                <w:sz w:val="22"/>
              </w:rPr>
              <w:t>）</w:t>
            </w:r>
          </w:p>
        </w:tc>
        <w:tc>
          <w:tcPr>
            <w:tcW w:w="6918" w:type="dxa"/>
            <w:gridSpan w:val="2"/>
          </w:tcPr>
          <w:p>
            <w:pPr>
              <w:pStyle w:val="8"/>
              <w:spacing w:before="181" w:line="424" w:lineRule="auto"/>
              <w:ind w:right="84"/>
              <w:jc w:val="both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hAnsi="宋体" w:eastAsia="宋体"/>
                <w:spacing w:val="-5"/>
                <w:sz w:val="22"/>
              </w:rPr>
              <w:t>珠海华发物业管理服务有限公司（“珠海华发物业”）与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云南融创物业服务有限公司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（“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云南融创物业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”）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拟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新设合营企业，合营企业主营业务首先为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双方关联公司共同开发建设的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项目提供物业</w:t>
            </w:r>
            <w:r>
              <w:rPr>
                <w:rFonts w:hint="eastAsia" w:ascii="宋体" w:hAnsi="宋体" w:eastAsia="宋体"/>
                <w:spacing w:val="-11"/>
                <w:sz w:val="22"/>
              </w:rPr>
              <w:t>管理服务</w:t>
            </w:r>
            <w:r>
              <w:rPr>
                <w:rFonts w:hint="eastAsia" w:ascii="宋体" w:eastAsia="宋体"/>
                <w:sz w:val="22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40" w:type="dxa"/>
            <w:vMerge w:val="restart"/>
            <w:shd w:val="clear" w:color="auto" w:fill="D9D9D9"/>
            <w:vAlign w:val="center"/>
          </w:tcPr>
          <w:p>
            <w:pPr>
              <w:pStyle w:val="8"/>
              <w:spacing w:before="180" w:line="427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参与集中的经营者简介</w:t>
            </w:r>
          </w:p>
        </w:tc>
        <w:tc>
          <w:tcPr>
            <w:tcW w:w="1384" w:type="dxa"/>
            <w:vAlign w:val="center"/>
          </w:tcPr>
          <w:p>
            <w:pPr>
              <w:pStyle w:val="8"/>
              <w:spacing w:before="180"/>
              <w:jc w:val="both"/>
              <w:rPr>
                <w:rFonts w:hint="eastAsia" w:asciiTheme="majorEastAsia" w:hAnsiTheme="majorEastAsia" w:eastAsiaTheme="majorEastAsia" w:cstheme="majorEastAsia"/>
                <w:sz w:val="22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1、珠海华发物业</w:t>
            </w:r>
          </w:p>
        </w:tc>
        <w:tc>
          <w:tcPr>
            <w:tcW w:w="5534" w:type="dxa"/>
            <w:vAlign w:val="center"/>
          </w:tcPr>
          <w:p>
            <w:pPr>
              <w:pStyle w:val="8"/>
              <w:spacing w:before="1" w:line="500" w:lineRule="atLeast"/>
              <w:ind w:left="107" w:right="96"/>
              <w:jc w:val="both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eastAsia="宋体"/>
                <w:sz w:val="22"/>
              </w:rPr>
              <w:t>珠海华发物业是珠海华发集团有限公司的全资子公司，国家一级资质物业管理企业。公司业务范围包括承接物业管理服务及咨询等。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40" w:type="dxa"/>
            <w:vMerge w:val="continue"/>
            <w:tcBorders>
              <w:top w:val="nil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1384" w:type="dxa"/>
            <w:vAlign w:val="center"/>
          </w:tcPr>
          <w:p>
            <w:pPr>
              <w:pStyle w:val="8"/>
              <w:spacing w:before="182" w:line="424" w:lineRule="auto"/>
              <w:ind w:right="93"/>
              <w:jc w:val="both"/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2、</w:t>
            </w:r>
            <w:r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  <w:t>云南融创物业</w:t>
            </w:r>
          </w:p>
        </w:tc>
        <w:tc>
          <w:tcPr>
            <w:tcW w:w="5534" w:type="dxa"/>
            <w:vAlign w:val="center"/>
          </w:tcPr>
          <w:p>
            <w:pPr>
              <w:pStyle w:val="8"/>
              <w:spacing w:before="2" w:line="500" w:lineRule="exact"/>
              <w:ind w:left="107" w:right="96"/>
              <w:jc w:val="both"/>
              <w:rPr>
                <w:rFonts w:hint="eastAsia" w:ascii="宋体" w:eastAsia="仿宋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2021年1月19日云南融创物业服务有限公司设立完毕</w:t>
            </w:r>
            <w:r>
              <w:rPr>
                <w:rFonts w:hint="eastAsia" w:ascii="宋体" w:eastAsia="宋体"/>
                <w:sz w:val="22"/>
                <w:lang w:eastAsia="zh-CN"/>
              </w:rPr>
              <w:t>，</w:t>
            </w:r>
            <w:r>
              <w:rPr>
                <w:rFonts w:hint="eastAsia" w:ascii="宋体" w:eastAsia="宋体"/>
                <w:sz w:val="22"/>
              </w:rPr>
              <w:t>融创物业服务集团有限公司持有云南融创物业服务有限公司100%股权</w:t>
            </w:r>
            <w:r>
              <w:rPr>
                <w:rFonts w:hint="eastAsia" w:ascii="宋体" w:eastAsia="宋体"/>
                <w:sz w:val="22"/>
                <w:lang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restart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8"/>
              <w:spacing w:before="179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简易案件理由</w:t>
            </w:r>
          </w:p>
          <w:p>
            <w:pPr>
              <w:pStyle w:val="8"/>
              <w:ind w:left="0"/>
              <w:jc w:val="center"/>
              <w:rPr>
                <w:rFonts w:ascii="黑体"/>
                <w:b/>
                <w:bCs/>
                <w:sz w:val="17"/>
              </w:rPr>
            </w:pPr>
          </w:p>
          <w:p>
            <w:pPr>
              <w:pStyle w:val="8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（可多选）</w:t>
            </w:r>
          </w:p>
        </w:tc>
        <w:tc>
          <w:tcPr>
            <w:tcW w:w="6918" w:type="dxa"/>
            <w:gridSpan w:val="2"/>
            <w:tcBorders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142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sym w:font="Wingdings" w:char="00A8"/>
            </w:r>
            <w:r>
              <w:rPr>
                <w:sz w:val="22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6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sym w:font="Wingdings" w:char="00FE"/>
            </w:r>
            <w:r>
              <w:rPr>
                <w:sz w:val="22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78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sym w:font="Wingdings" w:char="00FE"/>
            </w:r>
            <w:bookmarkStart w:id="0" w:name="_GoBack"/>
            <w:bookmarkEnd w:id="0"/>
            <w:r>
              <w:rPr>
                <w:sz w:val="22"/>
              </w:rPr>
              <w:t>3、不在同一相关市场、也不存在上下游关系的参与集中的经营者，</w:t>
            </w:r>
          </w:p>
          <w:p>
            <w:pPr>
              <w:pStyle w:val="8"/>
              <w:spacing w:before="1"/>
              <w:ind w:left="0"/>
              <w:jc w:val="left"/>
              <w:rPr>
                <w:rFonts w:ascii="黑体"/>
                <w:sz w:val="17"/>
              </w:rPr>
            </w:pPr>
          </w:p>
          <w:p>
            <w:pPr>
              <w:pStyle w:val="8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在与交易有关的每个市场所占的份额均小于 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80"/>
              <w:jc w:val="left"/>
              <w:rPr>
                <w:sz w:val="22"/>
              </w:rPr>
            </w:pPr>
            <w:r>
              <w:rPr>
                <w:sz w:val="22"/>
              </w:rPr>
              <w:t>□4、参与集中的经营者在中国境外设立合营企业，合营企业不在中国</w:t>
            </w:r>
          </w:p>
          <w:p>
            <w:pPr>
              <w:pStyle w:val="8"/>
              <w:spacing w:before="2"/>
              <w:ind w:left="0"/>
              <w:jc w:val="left"/>
              <w:rPr>
                <w:rFonts w:ascii="黑体"/>
                <w:sz w:val="17"/>
              </w:rPr>
            </w:pPr>
          </w:p>
          <w:p>
            <w:pPr>
              <w:pStyle w:val="8"/>
              <w:jc w:val="left"/>
              <w:rPr>
                <w:sz w:val="22"/>
              </w:rPr>
            </w:pPr>
            <w:r>
              <w:rPr>
                <w:sz w:val="22"/>
              </w:rPr>
              <w:t>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" w:line="500" w:lineRule="exact"/>
              <w:ind w:right="94"/>
              <w:jc w:val="left"/>
              <w:rPr>
                <w:sz w:val="22"/>
              </w:rPr>
            </w:pPr>
            <w:r>
              <w:rPr>
                <w:sz w:val="22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4"/>
              <w:jc w:val="left"/>
              <w:rPr>
                <w:sz w:val="22"/>
              </w:rPr>
            </w:pPr>
            <w:r>
              <w:rPr>
                <w:sz w:val="22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40" w:type="dxa"/>
            <w:tcBorders>
              <w:top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  <w:p>
            <w:pPr>
              <w:bidi w:val="0"/>
              <w:jc w:val="center"/>
              <w:rPr>
                <w:rFonts w:ascii="宋体" w:hAnsi="宋体" w:eastAsia="宋体" w:cs="宋体"/>
                <w:b/>
                <w:bCs/>
                <w:sz w:val="22"/>
                <w:szCs w:val="22"/>
                <w:lang w:val="zh-CN" w:eastAsia="zh-CN" w:bidi="zh-CN"/>
              </w:rPr>
            </w:pPr>
          </w:p>
          <w:p>
            <w:pPr>
              <w:bidi w:val="0"/>
              <w:jc w:val="center"/>
              <w:rPr>
                <w:b/>
                <w:bCs/>
                <w:lang w:val="zh-CN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  <w:tc>
          <w:tcPr>
            <w:tcW w:w="6918" w:type="dxa"/>
            <w:gridSpan w:val="2"/>
            <w:tcBorders>
              <w:top w:val="single" w:color="000000" w:sz="4" w:space="0"/>
            </w:tcBorders>
          </w:tcPr>
          <w:p>
            <w:pPr>
              <w:pStyle w:val="8"/>
              <w:spacing w:line="500" w:lineRule="exact"/>
              <w:ind w:right="94"/>
              <w:rPr>
                <w:sz w:val="22"/>
              </w:rPr>
            </w:pPr>
          </w:p>
          <w:p>
            <w:pPr>
              <w:pStyle w:val="8"/>
              <w:spacing w:line="500" w:lineRule="exact"/>
              <w:ind w:right="94"/>
              <w:rPr>
                <w:sz w:val="22"/>
              </w:rPr>
            </w:pPr>
          </w:p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相关商品市场：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住宅、商业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物业管理服务市场；相关地域市场：市级市场，即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昆明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市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2020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年集中各方在相关市场的市场份额：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tbl>
            <w:tblPr>
              <w:tblStyle w:val="4"/>
              <w:tblpPr w:leftFromText="180" w:rightFromText="180" w:vertAnchor="page" w:horzAnchor="page" w:tblpX="274" w:tblpY="1796"/>
              <w:tblOverlap w:val="never"/>
              <w:tblW w:w="6543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89"/>
              <w:gridCol w:w="4254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4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37"/>
                    <w:ind w:left="243" w:right="228"/>
                    <w:jc w:val="center"/>
                    <w:rPr>
                      <w:rFonts w:hint="eastAsia" w:ascii="宋体" w:eastAsia="宋体"/>
                      <w:b/>
                      <w:sz w:val="22"/>
                    </w:rPr>
                  </w:pPr>
                  <w:r>
                    <w:rPr>
                      <w:rFonts w:hint="eastAsia" w:ascii="宋体" w:eastAsia="宋体"/>
                      <w:b/>
                      <w:sz w:val="22"/>
                    </w:rPr>
                    <w:t>参与集中的经营者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37"/>
                    <w:ind w:left="793" w:right="775"/>
                    <w:jc w:val="center"/>
                    <w:rPr>
                      <w:rFonts w:hint="eastAsia" w:ascii="宋体" w:eastAsia="宋体"/>
                      <w:b/>
                      <w:sz w:val="22"/>
                    </w:rPr>
                  </w:pPr>
                  <w:r>
                    <w:rPr>
                      <w:rFonts w:hint="eastAsia" w:ascii="宋体" w:eastAsia="宋体"/>
                      <w:b/>
                      <w:sz w:val="22"/>
                      <w:lang w:val="en-US" w:eastAsia="zh-CN"/>
                    </w:rPr>
                    <w:t>住宅</w:t>
                  </w:r>
                  <w:r>
                    <w:rPr>
                      <w:rFonts w:hint="eastAsia" w:ascii="宋体" w:eastAsia="宋体"/>
                      <w:b/>
                      <w:sz w:val="22"/>
                    </w:rPr>
                    <w:t>物业管理服务市场份额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4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37"/>
                    <w:ind w:left="234" w:right="228"/>
                    <w:jc w:val="center"/>
                    <w:rPr>
                      <w:rFonts w:hint="eastAsia" w:ascii="宋体" w:eastAsia="宋体"/>
                      <w:sz w:val="22"/>
                      <w:lang w:eastAsia="zh-CN"/>
                    </w:rPr>
                  </w:pPr>
                  <w:r>
                    <w:rPr>
                      <w:rFonts w:hint="eastAsia" w:ascii="宋体" w:eastAsia="宋体"/>
                      <w:sz w:val="22"/>
                      <w:lang w:val="en-US" w:eastAsia="zh-CN"/>
                    </w:rPr>
                    <w:t>云南融创物业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50"/>
                    <w:ind w:left="787" w:right="775"/>
                    <w:jc w:val="center"/>
                    <w:rPr>
                      <w:rFonts w:ascii="Times New Roman"/>
                      <w:sz w:val="22"/>
                    </w:rPr>
                  </w:pPr>
                  <w:r>
                    <w:rPr>
                      <w:rFonts w:ascii="Times New Roman"/>
                      <w:sz w:val="22"/>
                    </w:rPr>
                    <w:t>[</w:t>
                  </w:r>
                  <w:r>
                    <w:rPr>
                      <w:rFonts w:hint="eastAsia" w:ascii="Times New Roman"/>
                      <w:sz w:val="22"/>
                      <w:lang w:val="en-US" w:eastAsia="zh-CN"/>
                    </w:rPr>
                    <w:t>0</w:t>
                  </w:r>
                  <w:r>
                    <w:rPr>
                      <w:rFonts w:ascii="Times New Roman"/>
                      <w:sz w:val="22"/>
                    </w:rPr>
                    <w:t>%]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76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149"/>
                    <w:ind w:left="234" w:right="228"/>
                    <w:jc w:val="center"/>
                    <w:rPr>
                      <w:rFonts w:hint="eastAsia" w:ascii="宋体" w:eastAsia="宋体"/>
                      <w:sz w:val="22"/>
                    </w:rPr>
                  </w:pPr>
                  <w:r>
                    <w:rPr>
                      <w:rFonts w:hint="eastAsia" w:ascii="宋体" w:eastAsia="宋体"/>
                      <w:sz w:val="22"/>
                    </w:rPr>
                    <w:t>珠海华发物业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161"/>
                    <w:ind w:left="787" w:right="775"/>
                    <w:jc w:val="center"/>
                    <w:rPr>
                      <w:rFonts w:ascii="Times New Roman"/>
                      <w:sz w:val="22"/>
                    </w:rPr>
                  </w:pPr>
                  <w:r>
                    <w:rPr>
                      <w:rFonts w:ascii="Times New Roman"/>
                      <w:sz w:val="22"/>
                    </w:rPr>
                    <w:t>[</w:t>
                  </w:r>
                  <w:r>
                    <w:rPr>
                      <w:rFonts w:hint="eastAsia" w:ascii="Times New Roman"/>
                      <w:sz w:val="22"/>
                      <w:lang w:val="en-US" w:eastAsia="zh-CN"/>
                    </w:rPr>
                    <w:t>0</w:t>
                  </w:r>
                  <w:r>
                    <w:rPr>
                      <w:rFonts w:ascii="Times New Roman"/>
                      <w:sz w:val="22"/>
                    </w:rPr>
                    <w:t>%]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8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154"/>
                    <w:ind w:left="239" w:right="228"/>
                    <w:jc w:val="center"/>
                    <w:rPr>
                      <w:rFonts w:hint="eastAsia" w:ascii="宋体" w:eastAsia="宋体"/>
                      <w:b/>
                      <w:sz w:val="22"/>
                    </w:rPr>
                  </w:pPr>
                  <w:r>
                    <w:rPr>
                      <w:rFonts w:hint="eastAsia" w:ascii="宋体" w:eastAsia="宋体"/>
                      <w:b/>
                      <w:sz w:val="22"/>
                    </w:rPr>
                    <w:t>合计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167"/>
                    <w:ind w:left="787" w:right="775"/>
                    <w:jc w:val="center"/>
                    <w:rPr>
                      <w:rFonts w:ascii="Times New Roman"/>
                      <w:sz w:val="22"/>
                    </w:rPr>
                  </w:pPr>
                  <w:r>
                    <w:drawing>
                      <wp:anchor distT="0" distB="0" distL="114300" distR="114300" simplePos="0" relativeHeight="251659264" behindDoc="1" locked="0" layoutInCell="1" allowOverlap="1">
                        <wp:simplePos x="0" y="0"/>
                        <wp:positionH relativeFrom="column">
                          <wp:posOffset>1279525</wp:posOffset>
                        </wp:positionH>
                        <wp:positionV relativeFrom="paragraph">
                          <wp:posOffset>146685</wp:posOffset>
                        </wp:positionV>
                        <wp:extent cx="1574800" cy="1605915"/>
                        <wp:effectExtent l="0" t="0" r="6350" b="13335"/>
                        <wp:wrapNone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rcRect l="27608" t="5646" r="24745" b="184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4800" cy="16059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1270000" dist="50800" dir="5400000" algn="ctr" rotWithShape="0">
                                    <a:srgbClr val="000000">
                                      <a:alpha val="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Times New Roman"/>
                      <w:sz w:val="22"/>
                    </w:rPr>
                    <w:t>[</w:t>
                  </w:r>
                  <w:r>
                    <w:rPr>
                      <w:rFonts w:hint="eastAsia" w:ascii="Times New Roman"/>
                      <w:sz w:val="22"/>
                      <w:lang w:val="en-US" w:eastAsia="zh-CN"/>
                    </w:rPr>
                    <w:t>0</w:t>
                  </w:r>
                  <w:r>
                    <w:rPr>
                      <w:rFonts w:ascii="Times New Roman"/>
                      <w:sz w:val="22"/>
                    </w:rPr>
                    <w:t>%]</w:t>
                  </w:r>
                </w:p>
              </w:tc>
            </w:tr>
          </w:tbl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</w:tc>
      </w:tr>
    </w:tbl>
    <w:p>
      <w:pPr>
        <w:pStyle w:val="2"/>
        <w:spacing w:before="7"/>
        <w:rPr>
          <w:rFonts w:ascii="黑体"/>
          <w:sz w:val="14"/>
        </w:rPr>
      </w:pPr>
    </w:p>
    <w:p/>
    <w:p/>
    <w:sectPr>
      <w:footerReference r:id="rId3" w:type="default"/>
      <w:pgSz w:w="11910" w:h="16840"/>
      <w:pgMar w:top="1420" w:right="1340" w:bottom="1380" w:left="1580" w:header="0" w:footer="119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D67B11F"/>
    <w:multiLevelType w:val="singleLevel"/>
    <w:tmpl w:val="ED67B11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344756"/>
    <w:rsid w:val="01EF0E4B"/>
    <w:rsid w:val="03FE546B"/>
    <w:rsid w:val="088E5982"/>
    <w:rsid w:val="09E478AF"/>
    <w:rsid w:val="0CA815AD"/>
    <w:rsid w:val="11B70683"/>
    <w:rsid w:val="165E71B5"/>
    <w:rsid w:val="16B15E71"/>
    <w:rsid w:val="1DE7477A"/>
    <w:rsid w:val="1EB231BA"/>
    <w:rsid w:val="26FB5A88"/>
    <w:rsid w:val="2A9D06B5"/>
    <w:rsid w:val="2DA45084"/>
    <w:rsid w:val="2FD62A5C"/>
    <w:rsid w:val="31410668"/>
    <w:rsid w:val="3B944B4F"/>
    <w:rsid w:val="3C0A2344"/>
    <w:rsid w:val="3DEF02BF"/>
    <w:rsid w:val="40BF5F4E"/>
    <w:rsid w:val="44BC7ACE"/>
    <w:rsid w:val="4F24005D"/>
    <w:rsid w:val="53EE1523"/>
    <w:rsid w:val="55563CBC"/>
    <w:rsid w:val="57E3161D"/>
    <w:rsid w:val="582F267B"/>
    <w:rsid w:val="5E52321E"/>
    <w:rsid w:val="6369451C"/>
    <w:rsid w:val="658B4EFC"/>
    <w:rsid w:val="6C1605EB"/>
    <w:rsid w:val="6CBA302F"/>
    <w:rsid w:val="6F78553A"/>
    <w:rsid w:val="725D7DB0"/>
    <w:rsid w:val="72F23D30"/>
    <w:rsid w:val="7EF12A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zh-CN" w:eastAsia="zh-CN" w:bidi="zh-CN"/>
    </w:rPr>
  </w:style>
  <w:style w:type="paragraph" w:customStyle="1" w:styleId="8">
    <w:name w:val="Table Paragraph"/>
    <w:basedOn w:val="1"/>
    <w:qFormat/>
    <w:uiPriority w:val="1"/>
    <w:pPr>
      <w:ind w:left="108"/>
    </w:pPr>
    <w:rPr>
      <w:rFonts w:ascii="仿宋" w:hAnsi="仿宋" w:eastAsia="仿宋" w:cs="仿宋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2021-02-03T08:09:00Z</dcterms:created>
  <dc:creator>dell</dc:creator>
  <cp:lastModifiedBy>然</cp:lastModifiedBy>
  <cp:lastPrinted>2021-02-26T01:15:00Z</cp:lastPrinted>
  <dcterms:modified xsi:type="dcterms:W3CDTF">2021-03-22T09:17:00Z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2021-02-03T00:00:00Z</vt:filetime>
  </property>
  <property fmtid="{D5CDD505-2E9C-101B-9397-08002B2CF9AE}" pid="5" name="KSOProductBuildVer">
    <vt:lpwstr>2052-11.1.0.10314</vt:lpwstr>
  </property>
  <property fmtid="{D5CDD505-2E9C-101B-9397-08002B2CF9AE}" pid="6" name="ICV">
    <vt:lpwstr>105A2F4BE68B4757A87B6B0B9A804E15</vt:lpwstr>
  </property>
</Properties>
</file>