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727" w:rsidRDefault="009F5727" w:rsidP="009F5727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tbl>
      <w:tblPr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2334"/>
        <w:gridCol w:w="5321"/>
      </w:tblGrid>
      <w:tr w:rsidR="009F5727" w:rsidRPr="002F2D60" w:rsidTr="009F5727">
        <w:tc>
          <w:tcPr>
            <w:tcW w:w="1843" w:type="dxa"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7655" w:type="dxa"/>
            <w:gridSpan w:val="2"/>
            <w:shd w:val="clear" w:color="auto" w:fill="auto"/>
          </w:tcPr>
          <w:p w:rsidR="009F5727" w:rsidRPr="00BA7437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0537DE">
              <w:rPr>
                <w:rFonts w:ascii="仿宋_GB2312" w:eastAsia="仿宋_GB2312" w:hAnsi="Times New Roman" w:hint="eastAsia"/>
                <w:sz w:val="28"/>
                <w:szCs w:val="28"/>
              </w:rPr>
              <w:t>博龙资本管理公司与科氏矿产和贸易公司收购PQ集团公司部分业务案</w:t>
            </w:r>
          </w:p>
        </w:tc>
      </w:tr>
      <w:tr w:rsidR="009F5727" w:rsidRPr="002F2D60" w:rsidTr="009F5727">
        <w:trPr>
          <w:trHeight w:val="993"/>
        </w:trPr>
        <w:tc>
          <w:tcPr>
            <w:tcW w:w="1843" w:type="dxa"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7655" w:type="dxa"/>
            <w:gridSpan w:val="2"/>
          </w:tcPr>
          <w:p w:rsidR="009F5727" w:rsidRPr="0074694B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根据《股份购买协议》，</w:t>
            </w:r>
            <w:r w:rsidRPr="000537DE">
              <w:rPr>
                <w:rFonts w:ascii="仿宋_GB2312" w:eastAsia="仿宋_GB2312" w:hAnsi="Times New Roman" w:hint="eastAsia"/>
                <w:sz w:val="28"/>
                <w:szCs w:val="28"/>
              </w:rPr>
              <w:t>博龙资本管理公司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Pr="00AA0825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博龙集</w:t>
            </w:r>
            <w:bookmarkStart w:id="0" w:name="_GoBack"/>
            <w:bookmarkEnd w:id="0"/>
            <w:r w:rsidRPr="00AA0825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团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”）</w:t>
            </w:r>
            <w:r w:rsidRPr="000537DE">
              <w:rPr>
                <w:rFonts w:ascii="仿宋_GB2312" w:eastAsia="仿宋_GB2312" w:hAnsi="Times New Roman" w:hint="eastAsia"/>
                <w:sz w:val="28"/>
                <w:szCs w:val="28"/>
              </w:rPr>
              <w:t>与科氏矿产和贸易公司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</w:t>
            </w:r>
            <w:r w:rsidRPr="00AA0825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科氏矿贸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”）将</w:t>
            </w: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通过一家共同持有和控制的收购工具（“</w:t>
            </w:r>
            <w:r w:rsidRPr="00AA0825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收购公司</w:t>
            </w: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”），以现金交易的方式，间接购买从PQ集团分拆出来的PQ性能化学品业务（“</w:t>
            </w:r>
            <w:r w:rsidRPr="00AA0825">
              <w:rPr>
                <w:rFonts w:ascii="仿宋_GB2312" w:eastAsia="仿宋_GB2312" w:hAnsi="Times New Roman" w:hint="eastAsia"/>
                <w:b/>
                <w:sz w:val="28"/>
                <w:szCs w:val="28"/>
              </w:rPr>
              <w:t>目标业务</w:t>
            </w: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”）。根据《投资人协议》，博龙集团和科氏矿贸将直接或间接持有收购公司中的所有股权利益。交易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后</w:t>
            </w: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目标业务</w:t>
            </w:r>
            <w:r w:rsidRPr="00AA0825">
              <w:rPr>
                <w:rFonts w:ascii="仿宋_GB2312" w:eastAsia="仿宋_GB2312" w:hAnsi="Times New Roman" w:hint="eastAsia"/>
                <w:sz w:val="28"/>
                <w:szCs w:val="28"/>
              </w:rPr>
              <w:t>的最终的所有权结构将为博龙集团和科氏矿贸分别持有50%。</w:t>
            </w:r>
          </w:p>
        </w:tc>
      </w:tr>
      <w:tr w:rsidR="009F5727" w:rsidRPr="002F2D60" w:rsidTr="009F5727">
        <w:trPr>
          <w:trHeight w:val="468"/>
        </w:trPr>
        <w:tc>
          <w:tcPr>
            <w:tcW w:w="1843" w:type="dxa"/>
            <w:vMerge w:val="restart"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2334" w:type="dxa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BA7437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 w:rsidRPr="00881275">
              <w:rPr>
                <w:rFonts w:ascii="仿宋_GB2312" w:eastAsia="仿宋_GB2312" w:hAnsi="Times New Roman" w:hint="eastAsia"/>
                <w:sz w:val="28"/>
                <w:szCs w:val="28"/>
              </w:rPr>
              <w:t>博龙集团</w:t>
            </w:r>
          </w:p>
        </w:tc>
        <w:tc>
          <w:tcPr>
            <w:tcW w:w="5321" w:type="dxa"/>
          </w:tcPr>
          <w:p w:rsidR="009F5727" w:rsidRPr="000E7FC9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1275">
              <w:rPr>
                <w:rFonts w:ascii="仿宋_GB2312" w:eastAsia="仿宋_GB2312" w:hAnsi="Times New Roman" w:hint="eastAsia"/>
                <w:sz w:val="28"/>
                <w:szCs w:val="28"/>
              </w:rPr>
              <w:t>博龙集团是一家私人投资公司，从事不动产和动产投资，包括但不限于全球多种行业的股本、存托凭证、投资公司、共同基金、认购、权证、债券、票据、信用债券、期权等其他各种类型和性质的证券。</w:t>
            </w:r>
          </w:p>
        </w:tc>
      </w:tr>
      <w:tr w:rsidR="009F5727" w:rsidRPr="002F2D60" w:rsidTr="009F5727">
        <w:trPr>
          <w:trHeight w:val="404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2334" w:type="dxa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 w:rsidRPr="00881275">
              <w:rPr>
                <w:rFonts w:ascii="仿宋_GB2312" w:eastAsia="仿宋_GB2312" w:hAnsi="Times New Roman" w:hint="eastAsia"/>
                <w:sz w:val="28"/>
                <w:szCs w:val="28"/>
              </w:rPr>
              <w:t>科氏矿贸</w:t>
            </w:r>
          </w:p>
        </w:tc>
        <w:tc>
          <w:tcPr>
            <w:tcW w:w="5321" w:type="dxa"/>
          </w:tcPr>
          <w:p w:rsidR="009F5727" w:rsidRPr="00D001A9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881275">
              <w:rPr>
                <w:rFonts w:ascii="仿宋_GB2312" w:eastAsia="仿宋_GB2312" w:hAnsi="Times New Roman" w:hint="eastAsia"/>
                <w:sz w:val="28"/>
                <w:szCs w:val="28"/>
              </w:rPr>
              <w:t>科氏矿贸是干散货大宗商品商，营销和交易商品，如石油焦炭、煤、硫磺、木浆和纸产品。</w:t>
            </w:r>
          </w:p>
        </w:tc>
      </w:tr>
      <w:tr w:rsidR="009F5727" w:rsidRPr="002F2D60" w:rsidTr="009F5727">
        <w:trPr>
          <w:trHeight w:val="279"/>
        </w:trPr>
        <w:tc>
          <w:tcPr>
            <w:tcW w:w="1843" w:type="dxa"/>
            <w:vMerge w:val="restart"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□1、在同一相关市场，所有参与集中的经营者所占市场份额之和小于15%。</w:t>
            </w:r>
          </w:p>
        </w:tc>
      </w:tr>
      <w:tr w:rsidR="009F5727" w:rsidRPr="002F2D60" w:rsidTr="009F5727">
        <w:trPr>
          <w:trHeight w:val="330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□2、存在上下游关系的参与集中的经营者，在上下游市场所占的市场份额均小于25%。</w:t>
            </w:r>
          </w:p>
        </w:tc>
      </w:tr>
      <w:tr w:rsidR="009F5727" w:rsidRPr="002F2D60" w:rsidTr="009F5727">
        <w:trPr>
          <w:trHeight w:val="285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685657">
              <w:rPr>
                <w:rFonts w:ascii="Times New Roman" w:hAnsi="Times New Roman" w:hint="eastAsia"/>
                <w:sz w:val="30"/>
                <w:szCs w:val="30"/>
              </w:rPr>
              <w:sym w:font="Wingdings" w:char="F0FE"/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9F5727" w:rsidRPr="002F2D60" w:rsidTr="009F5727">
        <w:trPr>
          <w:trHeight w:val="870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9F5727" w:rsidRPr="002F2D60" w:rsidTr="009F5727">
        <w:trPr>
          <w:trHeight w:val="264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9F5727" w:rsidRPr="002F2D60" w:rsidTr="009F5727">
        <w:trPr>
          <w:trHeight w:val="345"/>
        </w:trPr>
        <w:tc>
          <w:tcPr>
            <w:tcW w:w="1843" w:type="dxa"/>
            <w:vMerge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7655" w:type="dxa"/>
            <w:gridSpan w:val="2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9F5727" w:rsidRPr="002F2D60" w:rsidTr="009F5727">
        <w:trPr>
          <w:trHeight w:val="6510"/>
        </w:trPr>
        <w:tc>
          <w:tcPr>
            <w:tcW w:w="1843" w:type="dxa"/>
            <w:shd w:val="clear" w:color="auto" w:fill="D9D9D9"/>
          </w:tcPr>
          <w:p w:rsidR="009F5727" w:rsidRPr="002F2D60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7655" w:type="dxa"/>
            <w:gridSpan w:val="2"/>
          </w:tcPr>
          <w:p w:rsidR="009F5727" w:rsidRDefault="009F5727" w:rsidP="003740FD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相关市场界定及目标业务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的市场份额：</w:t>
            </w:r>
          </w:p>
          <w:p w:rsidR="009F5727" w:rsidRDefault="009F5727" w:rsidP="009F5727">
            <w:pPr>
              <w:widowControl w:val="0"/>
              <w:numPr>
                <w:ilvl w:val="0"/>
                <w:numId w:val="1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硅酸钠（中国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  <w:p w:rsidR="009F5727" w:rsidRPr="001D12B5" w:rsidRDefault="009F5727" w:rsidP="009F5727">
            <w:pPr>
              <w:widowControl w:val="0"/>
              <w:numPr>
                <w:ilvl w:val="0"/>
                <w:numId w:val="2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目标业务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:0-5%</w:t>
            </w:r>
          </w:p>
          <w:p w:rsidR="009F5727" w:rsidRDefault="009F5727" w:rsidP="009F5727">
            <w:pPr>
              <w:widowControl w:val="0"/>
              <w:numPr>
                <w:ilvl w:val="0"/>
                <w:numId w:val="1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硅酸钾（中国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市场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  <w:p w:rsidR="009F5727" w:rsidRPr="001D12B5" w:rsidRDefault="009F5727" w:rsidP="009F5727">
            <w:pPr>
              <w:widowControl w:val="0"/>
              <w:numPr>
                <w:ilvl w:val="0"/>
                <w:numId w:val="3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目标业务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:0-5%</w:t>
            </w:r>
          </w:p>
          <w:p w:rsidR="009F5727" w:rsidRDefault="009F5727" w:rsidP="003740FD">
            <w:pPr>
              <w:spacing w:after="0"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3.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沸石（中国市场）</w:t>
            </w:r>
          </w:p>
          <w:p w:rsidR="009F5727" w:rsidRPr="001D12B5" w:rsidRDefault="009F5727" w:rsidP="009F5727">
            <w:pPr>
              <w:widowControl w:val="0"/>
              <w:numPr>
                <w:ilvl w:val="0"/>
                <w:numId w:val="3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目标业务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:0-5%</w:t>
            </w:r>
          </w:p>
          <w:p w:rsidR="009F5727" w:rsidRDefault="009F5727" w:rsidP="003740FD">
            <w:pPr>
              <w:spacing w:after="0"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4.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硅胶（全球市场）</w:t>
            </w:r>
          </w:p>
          <w:p w:rsidR="009F5727" w:rsidRPr="001D12B5" w:rsidRDefault="009F5727" w:rsidP="009F5727">
            <w:pPr>
              <w:widowControl w:val="0"/>
              <w:numPr>
                <w:ilvl w:val="0"/>
                <w:numId w:val="3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目标业务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:10-15%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（全球市场份额）；0</w:t>
            </w:r>
            <w:r>
              <w:rPr>
                <w:rFonts w:ascii="仿宋_GB2312" w:eastAsia="仿宋_GB2312" w:hAnsi="Times New Roman"/>
                <w:sz w:val="28"/>
                <w:szCs w:val="28"/>
                <w:lang w:eastAsia="zh-CN"/>
              </w:rPr>
              <w:t>-5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%（中国市场份额）</w:t>
            </w:r>
          </w:p>
          <w:p w:rsidR="009F5727" w:rsidRDefault="009F5727" w:rsidP="003740FD">
            <w:pPr>
              <w:spacing w:after="0"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/>
                <w:sz w:val="28"/>
                <w:szCs w:val="28"/>
              </w:rPr>
              <w:t>5.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沉淀二氧化硅（全球市场）</w:t>
            </w:r>
          </w:p>
          <w:p w:rsidR="009F5727" w:rsidRPr="001C0CD9" w:rsidRDefault="009F5727" w:rsidP="009F5727">
            <w:pPr>
              <w:widowControl w:val="0"/>
              <w:numPr>
                <w:ilvl w:val="0"/>
                <w:numId w:val="3"/>
              </w:numPr>
              <w:spacing w:after="0" w:line="500" w:lineRule="exact"/>
              <w:jc w:val="both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目标业务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:0-5%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（全球市场份额）；0</w:t>
            </w:r>
            <w:r>
              <w:rPr>
                <w:rFonts w:ascii="仿宋_GB2312" w:eastAsia="仿宋_GB2312" w:hAnsi="Times New Roman"/>
                <w:sz w:val="28"/>
                <w:szCs w:val="28"/>
                <w:lang w:eastAsia="zh-CN"/>
              </w:rPr>
              <w:t>-5</w:t>
            </w:r>
            <w:r>
              <w:rPr>
                <w:rFonts w:ascii="仿宋_GB2312" w:eastAsia="仿宋_GB2312" w:hAnsi="Times New Roman" w:hint="eastAsia"/>
                <w:sz w:val="28"/>
                <w:szCs w:val="28"/>
                <w:lang w:eastAsia="zh-CN"/>
              </w:rPr>
              <w:t>%（中国市场份额）</w:t>
            </w:r>
          </w:p>
        </w:tc>
      </w:tr>
    </w:tbl>
    <w:p w:rsidR="00A026A5" w:rsidRDefault="00A026A5"/>
    <w:sectPr w:rsidR="00A02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5727" w:rsidRDefault="009F5727" w:rsidP="009F5727">
      <w:pPr>
        <w:spacing w:after="0" w:line="240" w:lineRule="auto"/>
      </w:pPr>
      <w:r>
        <w:separator/>
      </w:r>
    </w:p>
  </w:endnote>
  <w:endnote w:type="continuationSeparator" w:id="0">
    <w:p w:rsidR="009F5727" w:rsidRDefault="009F5727" w:rsidP="009F5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5727" w:rsidRDefault="009F5727" w:rsidP="009F5727">
      <w:pPr>
        <w:spacing w:after="0" w:line="240" w:lineRule="auto"/>
      </w:pPr>
      <w:r>
        <w:separator/>
      </w:r>
    </w:p>
  </w:footnote>
  <w:footnote w:type="continuationSeparator" w:id="0">
    <w:p w:rsidR="009F5727" w:rsidRDefault="009F5727" w:rsidP="009F5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2CA"/>
    <w:rsid w:val="001F5776"/>
    <w:rsid w:val="009722CA"/>
    <w:rsid w:val="009F5727"/>
    <w:rsid w:val="00A0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5F78106-525C-4435-B788-542AEE9A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5727"/>
    <w:pPr>
      <w:spacing w:after="280" w:line="280" w:lineRule="atLeast"/>
    </w:pPr>
    <w:rPr>
      <w:rFonts w:ascii="Arial" w:hAnsi="Arial"/>
      <w:kern w:val="16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57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572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57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57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Junhe</dc:creator>
  <cp:keywords/>
  <dc:description/>
  <cp:lastModifiedBy>Junhe</cp:lastModifiedBy>
  <cp:revision>2</cp:revision>
  <dcterms:created xsi:type="dcterms:W3CDTF">2021-04-14T02:01:00Z</dcterms:created>
  <dcterms:modified xsi:type="dcterms:W3CDTF">2021-04-14T02:06:00Z</dcterms:modified>
</cp:coreProperties>
</file>