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"/>
        <w:rPr>
          <w:rFonts w:ascii="Times New Roman"/>
          <w:sz w:val="24"/>
        </w:rPr>
      </w:pPr>
    </w:p>
    <w:p>
      <w:pPr>
        <w:spacing w:before="58"/>
        <w:ind w:left="2632" w:right="2718" w:firstLine="0"/>
        <w:jc w:val="center"/>
        <w:rPr>
          <w:rFonts w:hint="eastAsia" w:asciiTheme="majorEastAsia" w:hAnsiTheme="majorEastAsia" w:eastAsiaTheme="majorEastAsia" w:cstheme="majorEastAsia"/>
          <w:b/>
          <w:bCs/>
          <w:sz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</w:rPr>
        <w:t>经营者集中简易案件公示表</w:t>
      </w:r>
    </w:p>
    <w:p>
      <w:pPr>
        <w:pStyle w:val="2"/>
        <w:rPr>
          <w:rFonts w:ascii="黑体"/>
          <w:sz w:val="20"/>
        </w:rPr>
      </w:pPr>
    </w:p>
    <w:tbl>
      <w:tblPr>
        <w:tblStyle w:val="4"/>
        <w:tblpPr w:leftFromText="180" w:rightFromText="180" w:vertAnchor="text" w:horzAnchor="page" w:tblpX="1710" w:tblpY="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949"/>
        <w:gridCol w:w="49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40" w:type="dxa"/>
            <w:shd w:val="clear" w:color="auto" w:fill="D9D9D9"/>
            <w:vAlign w:val="center"/>
          </w:tcPr>
          <w:p>
            <w:pPr>
              <w:pStyle w:val="8"/>
              <w:spacing w:before="181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案件名称</w:t>
            </w:r>
          </w:p>
        </w:tc>
        <w:tc>
          <w:tcPr>
            <w:tcW w:w="6918" w:type="dxa"/>
            <w:gridSpan w:val="2"/>
            <w:vAlign w:val="center"/>
          </w:tcPr>
          <w:p>
            <w:pPr>
              <w:pStyle w:val="8"/>
              <w:spacing w:before="1" w:line="500" w:lineRule="exact"/>
              <w:ind w:right="94"/>
              <w:jc w:val="center"/>
              <w:rPr>
                <w:rFonts w:hint="eastAsia"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珠海华发物业管理服务有限公司与</w:t>
            </w:r>
            <w:r>
              <w:rPr>
                <w:rFonts w:hint="eastAsia" w:ascii="宋体" w:eastAsia="宋体"/>
                <w:sz w:val="21"/>
                <w:szCs w:val="21"/>
                <w:lang w:val="en-US" w:eastAsia="zh-CN"/>
              </w:rPr>
              <w:t>上海仁恒置地物业服务管理有限公司拟</w:t>
            </w:r>
            <w:r>
              <w:rPr>
                <w:rFonts w:hint="eastAsia" w:ascii="宋体" w:eastAsia="宋体"/>
                <w:sz w:val="21"/>
                <w:szCs w:val="21"/>
              </w:rPr>
              <w:t>新设合营企业案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1840" w:type="dxa"/>
            <w:shd w:val="clear" w:color="auto" w:fill="D9D9D9"/>
            <w:vAlign w:val="center"/>
          </w:tcPr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pacing w:val="-30"/>
                <w:sz w:val="22"/>
              </w:rPr>
            </w:pPr>
            <w:r>
              <w:rPr>
                <w:b/>
                <w:bCs/>
                <w:spacing w:val="-30"/>
                <w:sz w:val="22"/>
              </w:rPr>
              <w:t>交易概况</w:t>
            </w:r>
          </w:p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pacing w:val="-3"/>
                <w:sz w:val="22"/>
              </w:rPr>
              <w:t>（</w:t>
            </w:r>
            <w:r>
              <w:rPr>
                <w:b/>
                <w:bCs/>
                <w:spacing w:val="-27"/>
                <w:sz w:val="22"/>
              </w:rPr>
              <w:t xml:space="preserve">限 </w:t>
            </w:r>
            <w:r>
              <w:rPr>
                <w:b/>
                <w:bCs/>
                <w:spacing w:val="-5"/>
                <w:sz w:val="22"/>
              </w:rPr>
              <w:t xml:space="preserve">200 </w:t>
            </w:r>
            <w:r>
              <w:rPr>
                <w:b/>
                <w:bCs/>
                <w:spacing w:val="-2"/>
                <w:sz w:val="22"/>
              </w:rPr>
              <w:t>字内</w:t>
            </w:r>
            <w:r>
              <w:rPr>
                <w:b/>
                <w:bCs/>
                <w:sz w:val="22"/>
              </w:rPr>
              <w:t>）</w:t>
            </w:r>
          </w:p>
        </w:tc>
        <w:tc>
          <w:tcPr>
            <w:tcW w:w="6918" w:type="dxa"/>
            <w:gridSpan w:val="2"/>
          </w:tcPr>
          <w:p>
            <w:pPr>
              <w:pStyle w:val="8"/>
              <w:spacing w:before="181" w:line="424" w:lineRule="auto"/>
              <w:ind w:right="84"/>
              <w:jc w:val="both"/>
              <w:rPr>
                <w:rFonts w:hint="eastAsia" w:asci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pacing w:val="-5"/>
                <w:sz w:val="21"/>
                <w:szCs w:val="21"/>
              </w:rPr>
              <w:t>珠海华发物业管理服务有限公司（“珠海华发物业”）与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  <w:lang w:val="en-US" w:eastAsia="zh-CN"/>
              </w:rPr>
              <w:t>上海仁恒置地物业服务管理有限公司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</w:rPr>
              <w:t>（“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  <w:lang w:val="en-US" w:eastAsia="zh-CN"/>
              </w:rPr>
              <w:t>上海仁恒物业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</w:rPr>
              <w:t>”）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  <w:lang w:val="en-US" w:eastAsia="zh-CN"/>
              </w:rPr>
              <w:t>拟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</w:rPr>
              <w:t>新设合营企业，合营企业主营业务首先为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  <w:lang w:val="en-US" w:eastAsia="zh-CN"/>
              </w:rPr>
              <w:t>双方关联公司共同开发建设的住宅</w:t>
            </w:r>
            <w:r>
              <w:rPr>
                <w:rFonts w:hint="eastAsia" w:ascii="宋体" w:hAnsi="宋体" w:eastAsia="宋体"/>
                <w:spacing w:val="-5"/>
                <w:sz w:val="21"/>
                <w:szCs w:val="21"/>
              </w:rPr>
              <w:t>项目提供物业管理服务。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40" w:type="dxa"/>
            <w:vMerge w:val="restart"/>
            <w:shd w:val="clear" w:color="auto" w:fill="D9D9D9"/>
            <w:vAlign w:val="center"/>
          </w:tcPr>
          <w:p>
            <w:pPr>
              <w:pStyle w:val="8"/>
              <w:spacing w:before="180" w:line="427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参与集中的经营者简介</w:t>
            </w:r>
          </w:p>
        </w:tc>
        <w:tc>
          <w:tcPr>
            <w:tcW w:w="1949" w:type="dxa"/>
            <w:vAlign w:val="center"/>
          </w:tcPr>
          <w:p>
            <w:pPr>
              <w:pStyle w:val="8"/>
              <w:spacing w:before="180"/>
              <w:jc w:val="center"/>
              <w:rPr>
                <w:rFonts w:hint="eastAsia" w:ascii="宋体" w:eastAsia="宋体"/>
                <w:sz w:val="21"/>
                <w:szCs w:val="21"/>
              </w:rPr>
            </w:pPr>
            <w:r>
              <w:rPr>
                <w:rFonts w:ascii="Times New Roman" w:eastAsia="Times New Roman"/>
                <w:sz w:val="21"/>
                <w:szCs w:val="21"/>
              </w:rPr>
              <w:t>1</w:t>
            </w:r>
            <w:r>
              <w:rPr>
                <w:rFonts w:hint="eastAsia" w:ascii="宋体" w:eastAsia="宋体"/>
                <w:sz w:val="21"/>
                <w:szCs w:val="21"/>
              </w:rPr>
              <w:t>、珠海华发物业</w:t>
            </w:r>
          </w:p>
        </w:tc>
        <w:tc>
          <w:tcPr>
            <w:tcW w:w="4969" w:type="dxa"/>
            <w:vAlign w:val="center"/>
          </w:tcPr>
          <w:p>
            <w:pPr>
              <w:pStyle w:val="8"/>
              <w:spacing w:before="180"/>
              <w:ind w:left="107"/>
              <w:jc w:val="both"/>
              <w:rPr>
                <w:rFonts w:hint="eastAsia"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珠海华发物业是珠海华发集团有限公司的全资子公</w:t>
            </w:r>
          </w:p>
          <w:p>
            <w:pPr>
              <w:pStyle w:val="8"/>
              <w:spacing w:before="1" w:line="500" w:lineRule="atLeast"/>
              <w:ind w:left="107" w:right="96"/>
              <w:jc w:val="both"/>
              <w:rPr>
                <w:rFonts w:hint="eastAsia"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司，国家一级资质物业管理企业。公司业务范围包括承接物业管理服务及咨询等。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40" w:type="dxa"/>
            <w:vMerge w:val="continue"/>
            <w:tcBorders>
              <w:top w:val="nil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1949" w:type="dxa"/>
            <w:vAlign w:val="center"/>
          </w:tcPr>
          <w:p>
            <w:pPr>
              <w:pStyle w:val="8"/>
              <w:spacing w:before="182" w:line="424" w:lineRule="auto"/>
              <w:ind w:right="93"/>
              <w:jc w:val="center"/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Times New Roman"/>
                <w:sz w:val="21"/>
                <w:szCs w:val="21"/>
              </w:rPr>
              <w:t>2</w:t>
            </w:r>
            <w:r>
              <w:rPr>
                <w:rFonts w:hint="eastAsia" w:ascii="宋体" w:eastAsia="宋体"/>
                <w:sz w:val="21"/>
                <w:szCs w:val="21"/>
              </w:rPr>
              <w:t>、</w:t>
            </w:r>
            <w:r>
              <w:rPr>
                <w:rFonts w:hint="eastAsia" w:ascii="宋体" w:eastAsia="宋体"/>
                <w:sz w:val="21"/>
                <w:szCs w:val="21"/>
                <w:lang w:val="en-US" w:eastAsia="zh-CN"/>
              </w:rPr>
              <w:t>上海仁恒物业</w:t>
            </w:r>
          </w:p>
        </w:tc>
        <w:tc>
          <w:tcPr>
            <w:tcW w:w="4969" w:type="dxa"/>
            <w:vAlign w:val="center"/>
          </w:tcPr>
          <w:p>
            <w:pPr>
              <w:pStyle w:val="8"/>
              <w:spacing w:before="2" w:line="500" w:lineRule="exact"/>
              <w:ind w:left="107" w:right="96"/>
              <w:jc w:val="both"/>
              <w:rPr>
                <w:rFonts w:hint="eastAsia" w:ascii="宋体" w:eastAsia="宋体"/>
                <w:sz w:val="21"/>
                <w:szCs w:val="21"/>
              </w:rPr>
            </w:pPr>
            <w:r>
              <w:rPr>
                <w:rFonts w:hint="eastAsia" w:ascii="宋体" w:eastAsia="宋体"/>
                <w:sz w:val="21"/>
                <w:szCs w:val="21"/>
              </w:rPr>
              <w:t>上海仁恒置地物业服务管理有限公司是注册于中国（上海）自由贸易试验区茂的外商投资企业法人独资公司，隶属新加坡上市公司仁恒置地集团。公司业务范围包括物业管理</w:t>
            </w:r>
            <w:r>
              <w:rPr>
                <w:rFonts w:hint="eastAsia" w:ascii="宋体" w:eastAsia="宋体"/>
                <w:sz w:val="21"/>
                <w:szCs w:val="21"/>
                <w:lang w:val="en-US" w:eastAsia="zh-CN"/>
              </w:rPr>
              <w:t>等</w:t>
            </w:r>
            <w:r>
              <w:rPr>
                <w:rFonts w:hint="eastAsia" w:ascii="宋体" w:eastAsia="宋体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restart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8"/>
              <w:spacing w:before="179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简易案件理由</w:t>
            </w:r>
          </w:p>
          <w:p>
            <w:pPr>
              <w:pStyle w:val="8"/>
              <w:ind w:left="0"/>
              <w:jc w:val="center"/>
              <w:rPr>
                <w:rFonts w:ascii="黑体"/>
                <w:b/>
                <w:bCs/>
                <w:sz w:val="17"/>
              </w:rPr>
            </w:pPr>
          </w:p>
          <w:p>
            <w:pPr>
              <w:pStyle w:val="8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（可多选）</w:t>
            </w:r>
          </w:p>
        </w:tc>
        <w:tc>
          <w:tcPr>
            <w:tcW w:w="6918" w:type="dxa"/>
            <w:gridSpan w:val="2"/>
            <w:tcBorders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142"/>
              <w:jc w:val="left"/>
              <w:rPr>
                <w:sz w:val="21"/>
                <w:szCs w:val="21"/>
              </w:rPr>
            </w:pPr>
            <w:r>
              <w:rPr>
                <w:rFonts w:ascii="Wingdings" w:hAnsi="Wingdings" w:eastAsia="Wingdings"/>
                <w:sz w:val="21"/>
                <w:szCs w:val="21"/>
              </w:rPr>
              <w:sym w:font="Wingdings" w:char="00FE"/>
            </w:r>
            <w:r>
              <w:rPr>
                <w:sz w:val="21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6"/>
              <w:jc w:val="left"/>
              <w:rPr>
                <w:sz w:val="21"/>
                <w:szCs w:val="21"/>
              </w:rPr>
            </w:pPr>
            <w:r>
              <w:rPr>
                <w:rFonts w:ascii="Wingdings" w:hAnsi="Wingdings" w:eastAsia="Wingdings"/>
                <w:sz w:val="21"/>
                <w:szCs w:val="21"/>
              </w:rPr>
              <w:t></w:t>
            </w:r>
            <w:r>
              <w:rPr>
                <w:sz w:val="21"/>
                <w:szCs w:val="21"/>
              </w:rPr>
              <w:t>2、存在上下游关系的参与集中的经营者，在上下游市场所占的市场份额均小于 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78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□</w:t>
            </w:r>
            <w:r>
              <w:rPr>
                <w:sz w:val="21"/>
                <w:szCs w:val="21"/>
              </w:rPr>
              <w:t>3、不在同一相关市场、也不存在上下游关系的参与集中的经营者，</w:t>
            </w:r>
          </w:p>
          <w:p>
            <w:pPr>
              <w:pStyle w:val="8"/>
              <w:spacing w:before="1"/>
              <w:ind w:left="0"/>
              <w:jc w:val="left"/>
              <w:rPr>
                <w:rFonts w:ascii="黑体"/>
                <w:sz w:val="21"/>
                <w:szCs w:val="21"/>
              </w:rPr>
            </w:pPr>
          </w:p>
          <w:p>
            <w:pPr>
              <w:pStyle w:val="8"/>
              <w:spacing w:before="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在与交易有关的每个市场所占的份额均小于 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8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□</w:t>
            </w:r>
            <w:r>
              <w:rPr>
                <w:sz w:val="21"/>
                <w:szCs w:val="21"/>
              </w:rPr>
              <w:t>4、参与集中的经营者在中国境外设立合营企业，合营企业不在中国</w:t>
            </w:r>
          </w:p>
          <w:p>
            <w:pPr>
              <w:pStyle w:val="8"/>
              <w:spacing w:before="2"/>
              <w:ind w:left="0"/>
              <w:jc w:val="left"/>
              <w:rPr>
                <w:rFonts w:ascii="黑体"/>
                <w:sz w:val="21"/>
                <w:szCs w:val="21"/>
              </w:rPr>
            </w:pPr>
          </w:p>
          <w:p>
            <w:pPr>
              <w:pStyle w:val="8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" w:line="500" w:lineRule="exact"/>
              <w:ind w:right="94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4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40" w:type="dxa"/>
            <w:tcBorders>
              <w:top w:val="single" w:color="000000" w:sz="4" w:space="0"/>
            </w:tcBorders>
            <w:shd w:val="clear" w:color="auto" w:fill="D9D9D9"/>
            <w:vAlign w:val="center"/>
          </w:tcPr>
          <w:p>
            <w:pPr>
              <w:bidi w:val="0"/>
              <w:jc w:val="both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  <w:tc>
          <w:tcPr>
            <w:tcW w:w="6918" w:type="dxa"/>
            <w:gridSpan w:val="2"/>
            <w:tcBorders>
              <w:top w:val="single" w:color="000000" w:sz="4" w:space="0"/>
            </w:tcBorders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相关商品市场一：住宅物业管理服务市场；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相关地域市场：上海市；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ascii="Times New Roman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市场份额：上海仁恒物业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0.58</w:t>
            </w:r>
            <w:r>
              <w:rPr>
                <w:rFonts w:ascii="Times New Roman"/>
                <w:sz w:val="22"/>
              </w:rPr>
              <w:t>%]</w:t>
            </w:r>
            <w:r>
              <w:rPr>
                <w:rFonts w:hint="eastAsia" w:ascii="Times New Roman"/>
                <w:sz w:val="22"/>
                <w:lang w:val="en-US" w:eastAsia="zh-CN"/>
              </w:rPr>
              <w:t xml:space="preserve">     珠海华发物业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0.05</w:t>
            </w:r>
            <w:r>
              <w:rPr>
                <w:rFonts w:ascii="Times New Roman"/>
                <w:sz w:val="22"/>
              </w:rPr>
              <w:t>%]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="Times New Roman"/>
                <w:sz w:val="22"/>
                <w:lang w:val="en-US" w:eastAsia="zh-CN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="Times New Roman"/>
                <w:sz w:val="22"/>
                <w:lang w:val="en-US" w:eastAsia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相关商品市场二：商品住宅开发和销售市场；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相关地域市场：上海市；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default" w:ascii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市场份额：上海仁恒物业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0.93</w:t>
            </w:r>
            <w:r>
              <w:rPr>
                <w:rFonts w:ascii="Times New Roman"/>
                <w:sz w:val="22"/>
              </w:rPr>
              <w:t>%]</w:t>
            </w:r>
            <w:r>
              <w:rPr>
                <w:rFonts w:hint="eastAsia" w:ascii="Times New Roman"/>
                <w:sz w:val="22"/>
                <w:lang w:val="en-US" w:eastAsia="zh-CN"/>
              </w:rPr>
              <w:t xml:space="preserve">     珠海华发物业</w:t>
            </w:r>
            <w:r>
              <w:rPr>
                <w:rFonts w:ascii="Times New Roman"/>
                <w:sz w:val="22"/>
              </w:rPr>
              <w:t>[</w:t>
            </w:r>
            <w:r>
              <w:rPr>
                <w:rFonts w:hint="eastAsia" w:ascii="Times New Roman"/>
                <w:sz w:val="22"/>
                <w:lang w:val="en-US" w:eastAsia="zh-CN"/>
              </w:rPr>
              <w:t>2.23</w:t>
            </w:r>
            <w:r>
              <w:rPr>
                <w:rFonts w:ascii="Times New Roman"/>
                <w:sz w:val="22"/>
              </w:rPr>
              <w:t>%]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default" w:ascii="Times New Roman"/>
                <w:sz w:val="22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2886710</wp:posOffset>
                  </wp:positionH>
                  <wp:positionV relativeFrom="paragraph">
                    <wp:posOffset>26670</wp:posOffset>
                  </wp:positionV>
                  <wp:extent cx="1574800" cy="1605915"/>
                  <wp:effectExtent l="0" t="0" r="6350" b="1333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27608" t="5646" r="24745" b="18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6059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270000" dist="508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</w:tc>
      </w:tr>
    </w:tbl>
    <w:p>
      <w:pPr>
        <w:pStyle w:val="2"/>
        <w:spacing w:before="7"/>
        <w:rPr>
          <w:rFonts w:ascii="黑体"/>
          <w:sz w:val="14"/>
        </w:rPr>
      </w:pPr>
    </w:p>
    <w:p/>
    <w:p>
      <w:bookmarkStart w:id="0" w:name="_GoBack"/>
      <w:bookmarkEnd w:id="0"/>
    </w:p>
    <w:sectPr>
      <w:footerReference r:id="rId3" w:type="default"/>
      <w:pgSz w:w="11910" w:h="16840"/>
      <w:pgMar w:top="1420" w:right="1340" w:bottom="1380" w:left="1580" w:header="0" w:footer="119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3F27453"/>
    <w:rsid w:val="098B44C8"/>
    <w:rsid w:val="0CF3744C"/>
    <w:rsid w:val="139A5788"/>
    <w:rsid w:val="1C186AAB"/>
    <w:rsid w:val="26EA4DE4"/>
    <w:rsid w:val="296D66D7"/>
    <w:rsid w:val="2A622C86"/>
    <w:rsid w:val="2B733D19"/>
    <w:rsid w:val="2C755597"/>
    <w:rsid w:val="2D78518B"/>
    <w:rsid w:val="2E5A1754"/>
    <w:rsid w:val="300156C6"/>
    <w:rsid w:val="30EC3786"/>
    <w:rsid w:val="34C70D2C"/>
    <w:rsid w:val="34D962D7"/>
    <w:rsid w:val="39F72D54"/>
    <w:rsid w:val="42AB6436"/>
    <w:rsid w:val="432F434D"/>
    <w:rsid w:val="4A8F6213"/>
    <w:rsid w:val="4AAF73C1"/>
    <w:rsid w:val="4FFF18FA"/>
    <w:rsid w:val="53737F5A"/>
    <w:rsid w:val="5E564F1B"/>
    <w:rsid w:val="6369451C"/>
    <w:rsid w:val="681F5E95"/>
    <w:rsid w:val="725D7D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zh-CN" w:eastAsia="zh-CN" w:bidi="zh-CN"/>
    </w:rPr>
  </w:style>
  <w:style w:type="paragraph" w:customStyle="1" w:styleId="8">
    <w:name w:val="Table Paragraph"/>
    <w:basedOn w:val="1"/>
    <w:qFormat/>
    <w:uiPriority w:val="1"/>
    <w:pPr>
      <w:ind w:left="108"/>
    </w:pPr>
    <w:rPr>
      <w:rFonts w:ascii="仿宋" w:hAnsi="仿宋" w:eastAsia="仿宋" w:cs="仿宋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2021-02-03T08:09:00Z</dcterms:created>
  <dc:creator>dell</dc:creator>
  <cp:lastModifiedBy>Administrator</cp:lastModifiedBy>
  <cp:lastPrinted>2021-02-23T08:58:00Z</cp:lastPrinted>
  <dcterms:modified xsi:type="dcterms:W3CDTF">2021-04-07T14:36:15Z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2021-02-03T00:00:00Z</vt:filetime>
  </property>
  <property fmtid="{D5CDD505-2E9C-101B-9397-08002B2CF9AE}" pid="5" name="KSOProductBuildVer">
    <vt:lpwstr>2052-11.1.0.10314</vt:lpwstr>
  </property>
  <property fmtid="{D5CDD505-2E9C-101B-9397-08002B2CF9AE}" pid="6" name="ICV">
    <vt:lpwstr>5E3DFA3A92C0429E8E6B8DC2F5E0A0BB</vt:lpwstr>
  </property>
</Properties>
</file>