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cs="Times New Roman"/>
          <w:sz w:val="30"/>
          <w:szCs w:val="30"/>
        </w:rPr>
      </w:pPr>
      <w:r>
        <w:rPr>
          <w:rFonts w:hint="eastAsia" w:ascii="黑体" w:hAnsi="Times New Roman" w:eastAsia="黑体" w:cs="Times New Roman"/>
          <w:sz w:val="30"/>
          <w:szCs w:val="30"/>
        </w:rPr>
        <w:t>经营者集中简易案件公示表</w:t>
      </w:r>
    </w:p>
    <w:p>
      <w:pPr>
        <w:spacing w:line="440" w:lineRule="exact"/>
        <w:rPr>
          <w:rFonts w:ascii="仿宋_GB2312" w:hAnsi="Times New Roman" w:eastAsia="仿宋_GB2312" w:cs="Times New Roman"/>
          <w:sz w:val="28"/>
          <w:szCs w:val="28"/>
        </w:rPr>
      </w:pPr>
    </w:p>
    <w:tbl>
      <w:tblPr>
        <w:tblStyle w:val="7"/>
        <w:tblW w:w="847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937"/>
        <w:gridCol w:w="4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shd w:val="clear" w:color="auto" w:fill="D9D9D9"/>
            <w:vAlign w:val="center"/>
          </w:tcPr>
          <w:p>
            <w:pPr>
              <w:widowControl/>
              <w:snapToGrid w:val="0"/>
              <w:spacing w:before="156" w:beforeLines="50" w:after="156" w:afterLines="50" w:line="400" w:lineRule="exact"/>
              <w:jc w:val="center"/>
              <w:rPr>
                <w:rFonts w:ascii="Times New Roman" w:hAnsi="宋体" w:eastAsia="宋体" w:cs="Times New Roman"/>
                <w:sz w:val="24"/>
                <w:szCs w:val="24"/>
              </w:rPr>
            </w:pPr>
            <w:r>
              <w:rPr>
                <w:rFonts w:ascii="Times New Roman" w:hAnsi="宋体" w:eastAsia="宋体" w:cs="Times New Roman"/>
                <w:sz w:val="24"/>
                <w:szCs w:val="24"/>
              </w:rPr>
              <w:t>案件名称</w:t>
            </w:r>
          </w:p>
        </w:tc>
        <w:tc>
          <w:tcPr>
            <w:tcW w:w="6804" w:type="dxa"/>
            <w:gridSpan w:val="2"/>
            <w:vAlign w:val="center"/>
          </w:tcPr>
          <w:p>
            <w:pPr>
              <w:widowControl/>
              <w:snapToGrid w:val="0"/>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普洛斯中国控股有限公司与中邮资本管理有限公司新设合营企业案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73" w:type="dxa"/>
            <w:shd w:val="clear" w:color="auto" w:fill="D9D9D9"/>
            <w:vAlign w:val="center"/>
          </w:tcPr>
          <w:p>
            <w:pPr>
              <w:widowControl/>
              <w:snapToGrid w:val="0"/>
              <w:spacing w:before="156" w:beforeLines="50" w:after="156" w:afterLines="50" w:line="400" w:lineRule="exact"/>
              <w:rPr>
                <w:rFonts w:ascii="Times New Roman" w:hAnsi="宋体" w:eastAsia="宋体" w:cs="Times New Roman"/>
                <w:sz w:val="24"/>
                <w:szCs w:val="24"/>
              </w:rPr>
            </w:pPr>
            <w:r>
              <w:rPr>
                <w:rFonts w:ascii="Times New Roman" w:hAnsi="宋体" w:eastAsia="宋体" w:cs="Times New Roman"/>
                <w:sz w:val="24"/>
                <w:szCs w:val="24"/>
              </w:rPr>
              <w:t>交易概况（限200字内）</w:t>
            </w:r>
          </w:p>
        </w:tc>
        <w:tc>
          <w:tcPr>
            <w:tcW w:w="6804" w:type="dxa"/>
            <w:gridSpan w:val="2"/>
            <w:vAlign w:val="center"/>
          </w:tcPr>
          <w:p>
            <w:pPr>
              <w:widowControl/>
              <w:snapToGrid w:val="0"/>
              <w:spacing w:before="156" w:beforeLines="50" w:after="156" w:afterLines="50" w:line="400" w:lineRule="exact"/>
              <w:rPr>
                <w:rFonts w:ascii="Times New Roman" w:hAnsi="宋体" w:eastAsia="宋体" w:cs="Times New Roman"/>
                <w:bCs/>
                <w:sz w:val="24"/>
                <w:szCs w:val="24"/>
              </w:rPr>
            </w:pPr>
            <w:r>
              <w:rPr>
                <w:rFonts w:hint="eastAsia" w:ascii="Times New Roman" w:hAnsi="宋体" w:eastAsia="宋体" w:cs="Times New Roman"/>
                <w:bCs/>
                <w:sz w:val="24"/>
                <w:szCs w:val="24"/>
              </w:rPr>
              <w:t>普洛斯中国控股有限公司（“普洛斯公司”）</w:t>
            </w:r>
            <w:r>
              <w:rPr>
                <w:rFonts w:ascii="Times New Roman" w:hAnsi="宋体" w:eastAsia="宋体" w:cs="Times New Roman"/>
                <w:bCs/>
                <w:sz w:val="24"/>
                <w:szCs w:val="24"/>
              </w:rPr>
              <w:t>拟通过其控制的关联实体</w:t>
            </w:r>
            <w:r>
              <w:rPr>
                <w:rFonts w:hint="eastAsia" w:ascii="Times New Roman" w:hAnsi="宋体" w:eastAsia="宋体" w:cs="Times New Roman"/>
                <w:bCs/>
                <w:sz w:val="24"/>
                <w:szCs w:val="24"/>
              </w:rPr>
              <w:t>和中邮资本管理有限公司（“中邮资本公司”）</w:t>
            </w:r>
            <w:r>
              <w:rPr>
                <w:rFonts w:ascii="Times New Roman" w:hAnsi="宋体" w:eastAsia="宋体" w:cs="Times New Roman"/>
                <w:bCs/>
                <w:sz w:val="24"/>
                <w:szCs w:val="24"/>
              </w:rPr>
              <w:t>新设一家合营企业</w:t>
            </w:r>
            <w:r>
              <w:rPr>
                <w:rFonts w:hint="eastAsia" w:ascii="Times New Roman" w:hAnsi="宋体" w:eastAsia="宋体" w:cs="Times New Roman"/>
                <w:bCs/>
                <w:sz w:val="24"/>
                <w:szCs w:val="24"/>
              </w:rPr>
              <w:t>（“合营企业”），并合作发起设立私募基金（“合作基金”，新设合营企业和设立合作基金作为一次经营者集中）。交易完成后，普洛斯公司和中邮资本公司将分别持有占合营企业注册资本</w:t>
            </w:r>
            <w:r>
              <w:rPr>
                <w:rFonts w:ascii="Times New Roman" w:hAnsi="宋体" w:eastAsia="宋体" w:cs="Times New Roman"/>
                <w:bCs/>
                <w:sz w:val="24"/>
                <w:szCs w:val="24"/>
              </w:rPr>
              <w:t>50%的股权，并共同控制</w:t>
            </w:r>
            <w:r>
              <w:rPr>
                <w:rFonts w:hint="eastAsia" w:ascii="Times New Roman" w:hAnsi="宋体" w:eastAsia="宋体" w:cs="Times New Roman"/>
                <w:bCs/>
                <w:sz w:val="24"/>
                <w:szCs w:val="24"/>
              </w:rPr>
              <w:t>合营企业和合作基金。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73" w:type="dxa"/>
            <w:vMerge w:val="restart"/>
            <w:shd w:val="clear" w:color="auto" w:fill="D9D9D9"/>
            <w:vAlign w:val="center"/>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参与集中的经营者简介</w:t>
            </w:r>
          </w:p>
        </w:tc>
        <w:tc>
          <w:tcPr>
            <w:tcW w:w="1937" w:type="dxa"/>
            <w:vAlign w:val="center"/>
          </w:tcPr>
          <w:p>
            <w:pPr>
              <w:spacing w:before="156" w:beforeLines="50" w:after="156"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普洛斯公司</w:t>
            </w:r>
          </w:p>
        </w:tc>
        <w:tc>
          <w:tcPr>
            <w:tcW w:w="4867" w:type="dxa"/>
            <w:vAlign w:val="center"/>
          </w:tcPr>
          <w:p>
            <w:pPr>
              <w:spacing w:before="156" w:beforeLines="50" w:after="156"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普洛斯公司是一家依据香港法律成立的有限责任公司，在中国境内的主要业务为通用仓储设施的开发及租赁。同时，普洛斯公司还经营通用厂房和研发办公楼的开发及租赁业务。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2"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1937" w:type="dxa"/>
            <w:vAlign w:val="center"/>
          </w:tcPr>
          <w:p>
            <w:pPr>
              <w:spacing w:before="156" w:beforeLines="50" w:after="156" w:afterLines="50" w:line="400" w:lineRule="exact"/>
              <w:rPr>
                <w:rFonts w:ascii="Times New Roman" w:hAnsi="Times New Roman" w:eastAsia="宋体" w:cs="Times New Roman"/>
                <w:sz w:val="24"/>
                <w:szCs w:val="24"/>
              </w:rPr>
            </w:pPr>
            <w:r>
              <w:rPr>
                <w:rFonts w:hint="eastAsia" w:ascii="Times New Roman" w:hAnsi="宋体" w:eastAsia="宋体" w:cs="Times New Roman"/>
                <w:bCs/>
                <w:sz w:val="24"/>
                <w:szCs w:val="24"/>
              </w:rPr>
              <w:t>中邮资本公司</w:t>
            </w:r>
          </w:p>
        </w:tc>
        <w:tc>
          <w:tcPr>
            <w:tcW w:w="4867" w:type="dxa"/>
            <w:vAlign w:val="center"/>
          </w:tcPr>
          <w:p>
            <w:pPr>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中邮资本公司是一家依据中国法律在北京市注册成立的有限责任公司，主营业务包括直接股权投资、私募股权投资基金等。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673" w:type="dxa"/>
            <w:vMerge w:val="restart"/>
            <w:shd w:val="clear" w:color="auto" w:fill="D9D9D9"/>
            <w:vAlign w:val="center"/>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简易案件理由（可多选）</w:t>
            </w: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w:char="F0FE"/>
            </w:r>
            <w:r>
              <w:rPr>
                <w:rFonts w:ascii="Times New Roman" w:hAnsi="Times New Roman" w:eastAsia="宋体" w:cs="Times New Roman"/>
                <w:sz w:val="24"/>
                <w:szCs w:val="24"/>
              </w:rPr>
              <w:t>1、</w:t>
            </w:r>
            <w:r>
              <w:rPr>
                <w:rFonts w:ascii="Times New Roman" w:hAnsi="宋体" w:eastAsia="宋体" w:cs="Times New Roman"/>
                <w:sz w:val="24"/>
                <w:szCs w:val="24"/>
              </w:rPr>
              <w:t>在同一相关市场，所有参与集中的经营者所占市场份额之和小于</w:t>
            </w:r>
            <w:r>
              <w:rPr>
                <w:rFonts w:ascii="Times New Roman" w:hAnsi="Times New Roman" w:eastAsia="宋体" w:cs="Times New Roman"/>
                <w:sz w:val="24"/>
                <w:szCs w:val="24"/>
              </w:rPr>
              <w:t>15%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w:char="F0FE"/>
            </w:r>
            <w:r>
              <w:rPr>
                <w:rFonts w:ascii="Times New Roman" w:hAnsi="Times New Roman" w:eastAsia="宋体" w:cs="Times New Roman"/>
                <w:sz w:val="24"/>
                <w:szCs w:val="24"/>
              </w:rPr>
              <w:t>2</w:t>
            </w:r>
            <w:r>
              <w:rPr>
                <w:rFonts w:ascii="Times New Roman" w:hAnsi="宋体" w:eastAsia="宋体" w:cs="Times New Roman"/>
                <w:sz w:val="24"/>
                <w:szCs w:val="24"/>
              </w:rPr>
              <w:t>、存在上下游关系的参与集中的经营者，在上下游市场所占的市场份额均小于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3</w:t>
            </w:r>
            <w:r>
              <w:rPr>
                <w:rFonts w:ascii="Times New Roman" w:hAnsi="宋体" w:eastAsia="宋体" w:cs="Times New Roman"/>
                <w:sz w:val="24"/>
                <w:szCs w:val="24"/>
              </w:rPr>
              <w:t>、不在同一相关市场、也不存在上下游关系的参与集中的经营者，在与交易有关的每个市场所占的份额均小于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4</w:t>
            </w:r>
            <w:r>
              <w:rPr>
                <w:rFonts w:ascii="Times New Roman" w:hAnsi="宋体" w:eastAsia="宋体" w:cs="Times New Roman"/>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5</w:t>
            </w:r>
            <w:r>
              <w:rPr>
                <w:rFonts w:ascii="Times New Roman" w:hAnsi="宋体" w:eastAsia="宋体" w:cs="Times New Roman"/>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6</w:t>
            </w:r>
            <w:r>
              <w:rPr>
                <w:rFonts w:ascii="Times New Roman" w:hAnsi="宋体" w:eastAsia="宋体" w:cs="Times New Roman"/>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shd w:val="clear" w:color="auto" w:fill="D9D9D9"/>
            <w:vAlign w:val="center"/>
          </w:tcPr>
          <w:p>
            <w:pPr>
              <w:widowControl/>
              <w:snapToGrid w:val="0"/>
              <w:spacing w:before="156" w:beforeLines="50" w:after="156" w:afterLines="50" w:line="40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备注</w:t>
            </w: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一、本次交易所涉</w:t>
            </w:r>
            <w:r>
              <w:rPr>
                <w:rFonts w:hint="eastAsia" w:ascii="Times New Roman" w:hAnsi="Times New Roman" w:eastAsia="宋体" w:cs="Times New Roman"/>
                <w:sz w:val="24"/>
                <w:szCs w:val="24"/>
                <w:lang w:eastAsia="zh-CN"/>
              </w:rPr>
              <w:t>横向重叠市场</w:t>
            </w:r>
            <w:r>
              <w:rPr>
                <w:rFonts w:hint="eastAsia" w:ascii="Times New Roman" w:hAnsi="Times New Roman" w:eastAsia="宋体" w:cs="Times New Roman"/>
                <w:sz w:val="24"/>
                <w:szCs w:val="24"/>
              </w:rPr>
              <w:t>以及参与集中的经营者在相关市场中的市场份额分别为：</w:t>
            </w:r>
          </w:p>
          <w:tbl>
            <w:tblPr>
              <w:tblStyle w:val="5"/>
              <w:tblW w:w="6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106"/>
              <w:gridCol w:w="1694"/>
              <w:gridCol w:w="1665"/>
              <w:gridCol w:w="1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pPr>
                    <w:snapToGrid w:val="0"/>
                    <w:spacing w:before="31" w:beforeLines="10" w:after="31" w:afterLines="10"/>
                    <w:jc w:val="center"/>
                    <w:rPr>
                      <w:rFonts w:ascii="Times New Roman" w:hAnsi="Times New Roman" w:eastAsia="宋体" w:cs="Times New Roman"/>
                      <w:sz w:val="24"/>
                      <w:szCs w:val="24"/>
                    </w:rPr>
                  </w:pPr>
                  <w:r>
                    <w:rPr>
                      <w:rFonts w:ascii="宋体" w:hAnsi="宋体" w:eastAsia="宋体" w:cs="Times New Roman"/>
                      <w:sz w:val="24"/>
                      <w:szCs w:val="24"/>
                    </w:rPr>
                    <w:t>商</w:t>
                  </w:r>
                  <w:bookmarkStart w:id="0" w:name="_GoBack"/>
                  <w:bookmarkEnd w:id="0"/>
                  <w:r>
                    <w:rPr>
                      <w:rFonts w:hint="eastAsia" w:ascii="Times New Roman" w:hAnsi="Times New Roman" w:eastAsia="宋体" w:cs="Times New Roman"/>
                      <w:sz w:val="24"/>
                      <w:szCs w:val="24"/>
                    </w:rPr>
                    <w:t>品</w:t>
                  </w:r>
                  <w:r>
                    <w:rPr>
                      <w:rFonts w:ascii="Times New Roman" w:hAnsi="Times New Roman" w:eastAsia="宋体" w:cs="Times New Roman"/>
                      <w:sz w:val="24"/>
                      <w:szCs w:val="24"/>
                    </w:rPr>
                    <w:br w:type="textWrapping"/>
                  </w:r>
                  <w:r>
                    <w:rPr>
                      <w:rFonts w:hint="eastAsia" w:ascii="Times New Roman" w:hAnsi="Times New Roman" w:eastAsia="宋体" w:cs="Times New Roman"/>
                      <w:sz w:val="24"/>
                      <w:szCs w:val="24"/>
                    </w:rPr>
                    <w:t>市场</w:t>
                  </w: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地域</w:t>
                  </w:r>
                  <w:r>
                    <w:rPr>
                      <w:rFonts w:ascii="Times New Roman" w:hAnsi="Times New Roman" w:eastAsia="宋体" w:cs="Times New Roman"/>
                      <w:sz w:val="24"/>
                      <w:szCs w:val="24"/>
                    </w:rPr>
                    <w:br w:type="textWrapping"/>
                  </w:r>
                  <w:r>
                    <w:rPr>
                      <w:rFonts w:hint="eastAsia" w:ascii="Times New Roman" w:hAnsi="Times New Roman" w:eastAsia="宋体" w:cs="Times New Roman"/>
                      <w:sz w:val="24"/>
                      <w:szCs w:val="24"/>
                    </w:rPr>
                    <w:t>市场</w:t>
                  </w:r>
                </w:p>
              </w:tc>
              <w:tc>
                <w:tcPr>
                  <w:tcW w:w="1694"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普洛斯公司及其关联实体</w:t>
                  </w:r>
                </w:p>
              </w:tc>
              <w:tc>
                <w:tcPr>
                  <w:tcW w:w="1665"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中邮资本公司</w:t>
                  </w:r>
                  <w:r>
                    <w:rPr>
                      <w:rFonts w:ascii="Times New Roman" w:hAnsi="Times New Roman" w:eastAsia="宋体" w:cs="Times New Roman"/>
                      <w:sz w:val="24"/>
                      <w:szCs w:val="24"/>
                    </w:rPr>
                    <w:br w:type="textWrapping"/>
                  </w:r>
                  <w:r>
                    <w:rPr>
                      <w:rFonts w:hint="eastAsia" w:ascii="Times New Roman" w:hAnsi="Times New Roman" w:eastAsia="宋体" w:cs="Times New Roman"/>
                      <w:sz w:val="24"/>
                      <w:szCs w:val="24"/>
                    </w:rPr>
                    <w:t>及其关联实体</w:t>
                  </w:r>
                </w:p>
              </w:tc>
              <w:tc>
                <w:tcPr>
                  <w:tcW w:w="1408" w:type="dxa"/>
                  <w:vAlign w:val="center"/>
                </w:tcPr>
                <w:p>
                  <w:pPr>
                    <w:snapToGrid w:val="0"/>
                    <w:spacing w:before="31" w:beforeLines="10" w:after="31" w:afterLines="1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restart"/>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宋体" w:eastAsia="宋体" w:cs="Times New Roman"/>
                      <w:sz w:val="24"/>
                      <w:szCs w:val="24"/>
                    </w:rPr>
                    <w:t>通用仓库的开发及租赁</w:t>
                  </w: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北京市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vAlign w:val="center"/>
                </w:tcPr>
                <w:p>
                  <w:pPr>
                    <w:snapToGrid w:val="0"/>
                    <w:spacing w:before="31" w:beforeLines="10" w:after="31" w:afterLines="10"/>
                    <w:jc w:val="center"/>
                    <w:rPr>
                      <w:rFonts w:ascii="Times New Roman" w:hAnsi="Times New Roman" w:eastAsia="宋体" w:cs="Times New Roman"/>
                      <w:sz w:val="24"/>
                      <w:szCs w:val="24"/>
                    </w:rPr>
                  </w:pP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上海市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vAlign w:val="center"/>
                </w:tcPr>
                <w:p>
                  <w:pPr>
                    <w:snapToGrid w:val="0"/>
                    <w:spacing w:before="31" w:beforeLines="10" w:after="31" w:afterLines="10"/>
                    <w:jc w:val="center"/>
                    <w:rPr>
                      <w:rFonts w:ascii="Times New Roman" w:hAnsi="Times New Roman" w:eastAsia="宋体" w:cs="Times New Roman"/>
                      <w:sz w:val="24"/>
                      <w:szCs w:val="24"/>
                    </w:rPr>
                  </w:pP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廊坊市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vAlign w:val="center"/>
                </w:tcPr>
                <w:p>
                  <w:pPr>
                    <w:snapToGrid w:val="0"/>
                    <w:spacing w:before="31" w:beforeLines="10" w:after="31" w:afterLines="10"/>
                    <w:jc w:val="center"/>
                    <w:rPr>
                      <w:rFonts w:ascii="Times New Roman" w:hAnsi="Times New Roman" w:eastAsia="宋体" w:cs="Times New Roman"/>
                      <w:sz w:val="24"/>
                      <w:szCs w:val="24"/>
                    </w:rPr>
                  </w:pP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杭州市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5-10】%</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vAlign w:val="center"/>
                </w:tcPr>
                <w:p>
                  <w:pPr>
                    <w:snapToGrid w:val="0"/>
                    <w:spacing w:before="31" w:beforeLines="10" w:after="31" w:afterLines="10"/>
                    <w:jc w:val="center"/>
                    <w:rPr>
                      <w:rFonts w:ascii="Times New Roman" w:hAnsi="Times New Roman" w:eastAsia="宋体" w:cs="Times New Roman"/>
                      <w:sz w:val="24"/>
                      <w:szCs w:val="24"/>
                    </w:rPr>
                  </w:pPr>
                </w:p>
              </w:tc>
              <w:tc>
                <w:tcPr>
                  <w:tcW w:w="110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南京市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0-5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vAlign w:val="center"/>
                </w:tcPr>
                <w:p>
                  <w:pPr>
                    <w:snapToGrid w:val="0"/>
                    <w:spacing w:before="31" w:beforeLines="10" w:after="31" w:afterLines="10"/>
                    <w:jc w:val="center"/>
                    <w:rPr>
                      <w:rFonts w:ascii="Times New Roman" w:hAnsi="Times New Roman" w:eastAsia="宋体" w:cs="Times New Roman"/>
                      <w:sz w:val="24"/>
                      <w:szCs w:val="24"/>
                    </w:rPr>
                  </w:pPr>
                </w:p>
              </w:tc>
              <w:tc>
                <w:tcPr>
                  <w:tcW w:w="1106" w:type="dxa"/>
                  <w:vAlign w:val="center"/>
                </w:tcPr>
                <w:p>
                  <w:pPr>
                    <w:snapToGrid w:val="0"/>
                    <w:spacing w:before="31" w:beforeLines="10" w:after="31" w:afterLines="1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武汉市</w:t>
                  </w:r>
                </w:p>
              </w:tc>
              <w:tc>
                <w:tcPr>
                  <w:tcW w:w="1694"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665"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c>
                <w:tcPr>
                  <w:tcW w:w="1408" w:type="dxa"/>
                  <w:vAlign w:val="center"/>
                </w:tcPr>
                <w:p>
                  <w:pPr>
                    <w:snapToGrid w:val="0"/>
                    <w:spacing w:before="31" w:beforeLines="10" w:after="31" w:afterLines="1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tc>
            </w:tr>
          </w:tbl>
          <w:p/>
          <w:p>
            <w:pPr>
              <w:spacing w:before="156" w:beforeLines="50" w:after="156" w:afterLines="50"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二、本次交易所涉上下游市场以及参与集中的经营者在上下游市场中的市场份额分别为：</w:t>
            </w:r>
          </w:p>
          <w:p>
            <w:pPr>
              <w:spacing w:before="156" w:beforeLines="50" w:after="156" w:afterLines="50" w:line="400" w:lineRule="exac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上游市场</w:t>
            </w:r>
            <w:r>
              <w:rPr>
                <w:rFonts w:hint="eastAsia" w:ascii="Times New Roman" w:hAnsi="Times New Roman" w:eastAsia="宋体" w:cs="Times New Roman"/>
                <w:sz w:val="24"/>
                <w:szCs w:val="24"/>
                <w:lang w:eastAsia="zh-CN"/>
              </w:rPr>
              <w:t>：同上</w:t>
            </w:r>
          </w:p>
          <w:p>
            <w:pPr>
              <w:spacing w:before="156" w:beforeLines="50" w:after="156" w:afterLines="50"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下游市场</w:t>
            </w:r>
          </w:p>
          <w:tbl>
            <w:tblPr>
              <w:tblStyle w:val="5"/>
              <w:tblW w:w="64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2155"/>
              <w:gridCol w:w="2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pPr>
                    <w:snapToGrid w:val="0"/>
                    <w:spacing w:before="31" w:beforeLines="10" w:after="31" w:afterLines="10"/>
                    <w:jc w:val="center"/>
                    <w:rPr>
                      <w:rFonts w:ascii="Times New Roman" w:hAnsi="Times New Roman" w:eastAsia="宋体" w:cs="Times New Roman"/>
                      <w:sz w:val="24"/>
                      <w:szCs w:val="24"/>
                    </w:rPr>
                  </w:pPr>
                  <w:r>
                    <w:rPr>
                      <w:rFonts w:ascii="宋体" w:hAnsi="宋体" w:eastAsia="宋体" w:cs="Times New Roman"/>
                      <w:sz w:val="24"/>
                      <w:szCs w:val="24"/>
                    </w:rPr>
                    <w:t>商</w:t>
                  </w:r>
                  <w:r>
                    <w:rPr>
                      <w:rFonts w:hint="eastAsia" w:ascii="Times New Roman" w:hAnsi="Times New Roman" w:eastAsia="宋体" w:cs="Times New Roman"/>
                      <w:sz w:val="24"/>
                      <w:szCs w:val="24"/>
                    </w:rPr>
                    <w:t>品市场</w:t>
                  </w:r>
                </w:p>
              </w:tc>
              <w:tc>
                <w:tcPr>
                  <w:tcW w:w="2155"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地域市场</w:t>
                  </w:r>
                </w:p>
              </w:tc>
              <w:tc>
                <w:tcPr>
                  <w:tcW w:w="2156" w:type="dxa"/>
                  <w:vAlign w:val="center"/>
                </w:tcPr>
                <w:p>
                  <w:pPr>
                    <w:snapToGrid w:val="0"/>
                    <w:spacing w:before="31" w:beforeLines="10" w:after="31" w:afterLines="1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中邮资本公司及其关联实体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pPr>
                    <w:snapToGrid w:val="0"/>
                    <w:spacing w:before="31" w:beforeLines="10" w:after="31" w:afterLines="10"/>
                    <w:jc w:val="center"/>
                    <w:rPr>
                      <w:rFonts w:hint="eastAsia" w:ascii="Times New Roman" w:hAnsi="Times New Roman" w:eastAsia="宋体" w:cs="Times New Roman"/>
                      <w:sz w:val="24"/>
                      <w:szCs w:val="24"/>
                    </w:rPr>
                  </w:pPr>
                  <w:r>
                    <w:rPr>
                      <w:rFonts w:hint="eastAsia" w:ascii="Times New Roman" w:hAnsi="宋体" w:eastAsia="宋体" w:cs="Times New Roman"/>
                      <w:sz w:val="24"/>
                      <w:szCs w:val="24"/>
                    </w:rPr>
                    <w:t>快递服务</w:t>
                  </w:r>
                </w:p>
              </w:tc>
              <w:tc>
                <w:tcPr>
                  <w:tcW w:w="2155" w:type="dxa"/>
                  <w:vAlign w:val="center"/>
                </w:tcPr>
                <w:p>
                  <w:pPr>
                    <w:snapToGrid w:val="0"/>
                    <w:spacing w:before="31" w:beforeLines="10" w:after="31" w:afterLines="10"/>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全国</w:t>
                  </w:r>
                </w:p>
              </w:tc>
              <w:tc>
                <w:tcPr>
                  <w:tcW w:w="2156" w:type="dxa"/>
                  <w:vAlign w:val="center"/>
                </w:tcPr>
                <w:p>
                  <w:pPr>
                    <w:snapToGrid w:val="0"/>
                    <w:spacing w:before="31" w:beforeLines="10" w:after="31" w:afterLines="10"/>
                    <w:rPr>
                      <w:rFonts w:ascii="Times New Roman" w:hAnsi="Times New Roman" w:eastAsia="宋体" w:cs="Times New Roman"/>
                      <w:sz w:val="24"/>
                      <w:szCs w:val="24"/>
                    </w:rPr>
                  </w:pPr>
                  <w:r>
                    <w:rPr>
                      <w:rFonts w:hint="eastAsia" w:ascii="Times New Roman" w:hAnsi="Times New Roman" w:eastAsia="宋体" w:cs="Times New Roman"/>
                      <w:sz w:val="24"/>
                      <w:szCs w:val="24"/>
                    </w:rPr>
                    <w:t>以业务量为标准：【1</w:t>
                  </w:r>
                  <w:r>
                    <w:rPr>
                      <w:rFonts w:ascii="Times New Roman" w:hAnsi="Times New Roman" w:eastAsia="宋体" w:cs="Times New Roman"/>
                      <w:sz w:val="24"/>
                      <w:szCs w:val="24"/>
                    </w:rPr>
                    <w:t>0-15</w:t>
                  </w:r>
                  <w:r>
                    <w:rPr>
                      <w:rFonts w:hint="eastAsia" w:ascii="Times New Roman" w:hAnsi="Times New Roman" w:eastAsia="宋体" w:cs="Times New Roman"/>
                      <w:sz w:val="24"/>
                      <w:szCs w:val="24"/>
                    </w:rPr>
                    <w:t>】%；</w:t>
                  </w:r>
                </w:p>
                <w:p>
                  <w:pPr>
                    <w:snapToGrid w:val="0"/>
                    <w:spacing w:before="31" w:beforeLines="10" w:after="31" w:afterLines="10"/>
                    <w:rPr>
                      <w:rFonts w:hint="eastAsia" w:ascii="Times New Roman" w:hAnsi="Times New Roman" w:eastAsia="宋体" w:cs="Times New Roman"/>
                      <w:sz w:val="24"/>
                      <w:szCs w:val="24"/>
                    </w:rPr>
                  </w:pPr>
                  <w:r>
                    <w:rPr>
                      <w:rFonts w:ascii="Times New Roman" w:hAnsi="Times New Roman" w:eastAsia="宋体" w:cs="Times New Roman"/>
                      <w:sz w:val="24"/>
                      <w:szCs w:val="24"/>
                    </w:rPr>
                    <w:t>以业务收入为标准</w:t>
                  </w:r>
                  <w:r>
                    <w:rPr>
                      <w:rFonts w:hint="eastAsia" w:ascii="Times New Roman" w:hAnsi="Times New Roman" w:eastAsia="宋体" w:cs="Times New Roman"/>
                      <w:sz w:val="24"/>
                      <w:szCs w:val="24"/>
                    </w:rPr>
                    <w:t>：【5</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p>
              </w:tc>
            </w:tr>
          </w:tbl>
          <w:p>
            <w:pPr>
              <w:spacing w:before="156" w:beforeLines="50" w:after="156" w:afterLines="50" w:line="400" w:lineRule="exact"/>
              <w:rPr>
                <w:rFonts w:ascii="Times New Roman" w:hAnsi="Times New Roman" w:eastAsia="宋体" w:cs="Times New Roman"/>
                <w:sz w:val="24"/>
                <w:szCs w:val="24"/>
                <w:u w:val="single"/>
              </w:rPr>
            </w:pPr>
          </w:p>
        </w:tc>
      </w:tr>
    </w:tbl>
    <w:p>
      <w:pPr>
        <w:widowControl/>
        <w:shd w:val="clear" w:color="auto" w:fill="FFFFFF"/>
        <w:spacing w:line="375" w:lineRule="atLeast"/>
        <w:jc w:val="left"/>
        <w:rPr>
          <w:rFonts w:ascii="仿宋_GB2312" w:hAnsi="Times New Roman" w:eastAsia="仿宋_GB2312" w:cs="Times New Roman"/>
          <w:sz w:val="28"/>
          <w:szCs w:val="28"/>
        </w:rPr>
      </w:pPr>
    </w:p>
    <w:p>
      <w:pPr>
        <w:snapToGrid w:val="0"/>
        <w:spacing w:line="240" w:lineRule="exact"/>
        <w:rPr>
          <w:rFonts w:ascii="宋体" w:hAnsi="宋体" w:eastAsia="宋体" w:cs="Times New Roman"/>
          <w:sz w:val="24"/>
          <w:szCs w:val="24"/>
        </w:rPr>
      </w:pPr>
      <w:r>
        <w:rPr>
          <w:rFonts w:hint="eastAsia" w:ascii="宋体" w:hAnsi="宋体" w:eastAsia="宋体" w:cs="Times New Roman"/>
          <w:sz w:val="24"/>
          <w:szCs w:val="24"/>
        </w:rPr>
        <w:t>注解：</w:t>
      </w:r>
    </w:p>
    <w:p>
      <w:pPr>
        <w:snapToGrid w:val="0"/>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napToGrid w:val="0"/>
        <w:spacing w:line="360" w:lineRule="auto"/>
        <w:ind w:firstLine="480" w:firstLineChars="200"/>
        <w:rPr>
          <w:rFonts w:ascii="宋体" w:hAnsi="宋体" w:eastAsia="宋体" w:cs="Times New Roman"/>
          <w:sz w:val="24"/>
          <w:szCs w:val="24"/>
        </w:rPr>
      </w:pPr>
      <w:r>
        <w:rPr>
          <w:rFonts w:ascii="宋体" w:hAnsi="宋体" w:eastAsia="宋体" w:cs="Times New Roman"/>
          <w:sz w:val="24"/>
          <w:szCs w:val="24"/>
        </w:rPr>
        <w:t>2、申报方申请简易案件的理由是基于第4项、第5项时，无须在备注中说明相关市场和市场份额。</w:t>
      </w:r>
    </w:p>
    <w:p>
      <w:pPr>
        <w:snapToGrid w:val="0"/>
        <w:spacing w:line="360" w:lineRule="auto"/>
        <w:ind w:firstLine="480" w:firstLineChars="200"/>
        <w:rPr>
          <w:rFonts w:ascii="Times New Roman" w:hAnsi="Times New Roman"/>
          <w:b/>
          <w:bCs/>
          <w:sz w:val="24"/>
          <w:szCs w:val="24"/>
        </w:rPr>
      </w:pPr>
      <w:r>
        <w:rPr>
          <w:rFonts w:ascii="宋体" w:hAnsi="宋体" w:eastAsia="宋体" w:cs="Times New Roman"/>
          <w:sz w:val="24"/>
          <w:szCs w:val="24"/>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等线">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ADD"/>
    <w:rsid w:val="000010A1"/>
    <w:rsid w:val="000203B4"/>
    <w:rsid w:val="00024170"/>
    <w:rsid w:val="00031B69"/>
    <w:rsid w:val="0003266B"/>
    <w:rsid w:val="00047CC8"/>
    <w:rsid w:val="00051D14"/>
    <w:rsid w:val="00092528"/>
    <w:rsid w:val="000A1EB4"/>
    <w:rsid w:val="000A4DFE"/>
    <w:rsid w:val="000B185E"/>
    <w:rsid w:val="000B2DE4"/>
    <w:rsid w:val="000B6CD3"/>
    <w:rsid w:val="000D1F49"/>
    <w:rsid w:val="000E1C80"/>
    <w:rsid w:val="000E554B"/>
    <w:rsid w:val="000F3BC6"/>
    <w:rsid w:val="001166AC"/>
    <w:rsid w:val="0011762B"/>
    <w:rsid w:val="0012498C"/>
    <w:rsid w:val="00135384"/>
    <w:rsid w:val="00135458"/>
    <w:rsid w:val="0015096E"/>
    <w:rsid w:val="0017381C"/>
    <w:rsid w:val="001830BF"/>
    <w:rsid w:val="001947FE"/>
    <w:rsid w:val="001B17D9"/>
    <w:rsid w:val="001B6F47"/>
    <w:rsid w:val="001C579D"/>
    <w:rsid w:val="001C79D7"/>
    <w:rsid w:val="001D1BDB"/>
    <w:rsid w:val="001F07BA"/>
    <w:rsid w:val="002105A5"/>
    <w:rsid w:val="002141D4"/>
    <w:rsid w:val="00214938"/>
    <w:rsid w:val="00215745"/>
    <w:rsid w:val="00222727"/>
    <w:rsid w:val="00247686"/>
    <w:rsid w:val="002523EF"/>
    <w:rsid w:val="00255A82"/>
    <w:rsid w:val="00263FAA"/>
    <w:rsid w:val="0027209B"/>
    <w:rsid w:val="00276406"/>
    <w:rsid w:val="0028203C"/>
    <w:rsid w:val="002A6427"/>
    <w:rsid w:val="002A7373"/>
    <w:rsid w:val="002C0B69"/>
    <w:rsid w:val="002C2263"/>
    <w:rsid w:val="002C2607"/>
    <w:rsid w:val="002D52A3"/>
    <w:rsid w:val="002E5A23"/>
    <w:rsid w:val="003067CC"/>
    <w:rsid w:val="003128D2"/>
    <w:rsid w:val="00337294"/>
    <w:rsid w:val="003455CF"/>
    <w:rsid w:val="0036396E"/>
    <w:rsid w:val="0038670E"/>
    <w:rsid w:val="003A69F9"/>
    <w:rsid w:val="003A7D18"/>
    <w:rsid w:val="003B5E20"/>
    <w:rsid w:val="003D07CF"/>
    <w:rsid w:val="003E0EB8"/>
    <w:rsid w:val="003E4A4C"/>
    <w:rsid w:val="003F2AC8"/>
    <w:rsid w:val="00401E2E"/>
    <w:rsid w:val="00421700"/>
    <w:rsid w:val="00442E21"/>
    <w:rsid w:val="00487DC6"/>
    <w:rsid w:val="00487F19"/>
    <w:rsid w:val="004B2840"/>
    <w:rsid w:val="004C4EBC"/>
    <w:rsid w:val="004D2538"/>
    <w:rsid w:val="004D3285"/>
    <w:rsid w:val="004D4021"/>
    <w:rsid w:val="0050084A"/>
    <w:rsid w:val="005035B7"/>
    <w:rsid w:val="00524AE7"/>
    <w:rsid w:val="00534949"/>
    <w:rsid w:val="005436C6"/>
    <w:rsid w:val="00547F5E"/>
    <w:rsid w:val="005642DE"/>
    <w:rsid w:val="00564E60"/>
    <w:rsid w:val="005650A5"/>
    <w:rsid w:val="0056733D"/>
    <w:rsid w:val="00573C58"/>
    <w:rsid w:val="005903EC"/>
    <w:rsid w:val="005C1984"/>
    <w:rsid w:val="005C28A7"/>
    <w:rsid w:val="005E19D7"/>
    <w:rsid w:val="00601AC5"/>
    <w:rsid w:val="00617F52"/>
    <w:rsid w:val="0062176A"/>
    <w:rsid w:val="0062299A"/>
    <w:rsid w:val="00626884"/>
    <w:rsid w:val="00635194"/>
    <w:rsid w:val="00637F6A"/>
    <w:rsid w:val="006570E8"/>
    <w:rsid w:val="006608F3"/>
    <w:rsid w:val="00675ADD"/>
    <w:rsid w:val="00676718"/>
    <w:rsid w:val="00690AFC"/>
    <w:rsid w:val="006915A8"/>
    <w:rsid w:val="006E7DA6"/>
    <w:rsid w:val="00714418"/>
    <w:rsid w:val="0072332A"/>
    <w:rsid w:val="007362C4"/>
    <w:rsid w:val="00760F5E"/>
    <w:rsid w:val="007835F8"/>
    <w:rsid w:val="007A00DC"/>
    <w:rsid w:val="007C5CD7"/>
    <w:rsid w:val="007C6286"/>
    <w:rsid w:val="007C768F"/>
    <w:rsid w:val="00803E45"/>
    <w:rsid w:val="0081607D"/>
    <w:rsid w:val="008204C3"/>
    <w:rsid w:val="008556BF"/>
    <w:rsid w:val="008915A3"/>
    <w:rsid w:val="008A525E"/>
    <w:rsid w:val="008C0AC3"/>
    <w:rsid w:val="008C315F"/>
    <w:rsid w:val="008D7503"/>
    <w:rsid w:val="008E651E"/>
    <w:rsid w:val="008E69F8"/>
    <w:rsid w:val="00916202"/>
    <w:rsid w:val="00935249"/>
    <w:rsid w:val="00940888"/>
    <w:rsid w:val="0094341A"/>
    <w:rsid w:val="009660A9"/>
    <w:rsid w:val="00970928"/>
    <w:rsid w:val="009725FE"/>
    <w:rsid w:val="009779D4"/>
    <w:rsid w:val="00981774"/>
    <w:rsid w:val="00990370"/>
    <w:rsid w:val="009E323C"/>
    <w:rsid w:val="009E6238"/>
    <w:rsid w:val="009F2349"/>
    <w:rsid w:val="009F49D5"/>
    <w:rsid w:val="00A03BBF"/>
    <w:rsid w:val="00A4738F"/>
    <w:rsid w:val="00A47B97"/>
    <w:rsid w:val="00A5313B"/>
    <w:rsid w:val="00A659FF"/>
    <w:rsid w:val="00A70F1D"/>
    <w:rsid w:val="00A85AD2"/>
    <w:rsid w:val="00A91D4C"/>
    <w:rsid w:val="00A94E2E"/>
    <w:rsid w:val="00A95419"/>
    <w:rsid w:val="00AA47DA"/>
    <w:rsid w:val="00AA6C3C"/>
    <w:rsid w:val="00B0779E"/>
    <w:rsid w:val="00B22334"/>
    <w:rsid w:val="00B269A0"/>
    <w:rsid w:val="00B31718"/>
    <w:rsid w:val="00B34E89"/>
    <w:rsid w:val="00B3557D"/>
    <w:rsid w:val="00B364C0"/>
    <w:rsid w:val="00B44FF8"/>
    <w:rsid w:val="00B61D51"/>
    <w:rsid w:val="00B967F8"/>
    <w:rsid w:val="00BE3562"/>
    <w:rsid w:val="00BE66BD"/>
    <w:rsid w:val="00BF4179"/>
    <w:rsid w:val="00BF4278"/>
    <w:rsid w:val="00C03FA1"/>
    <w:rsid w:val="00C11F99"/>
    <w:rsid w:val="00C4225E"/>
    <w:rsid w:val="00C46704"/>
    <w:rsid w:val="00C51F1A"/>
    <w:rsid w:val="00C60EEF"/>
    <w:rsid w:val="00C64860"/>
    <w:rsid w:val="00C8141D"/>
    <w:rsid w:val="00C93575"/>
    <w:rsid w:val="00C97E59"/>
    <w:rsid w:val="00CA0471"/>
    <w:rsid w:val="00CB04EF"/>
    <w:rsid w:val="00CB3EB8"/>
    <w:rsid w:val="00CC158F"/>
    <w:rsid w:val="00CC2156"/>
    <w:rsid w:val="00CC7470"/>
    <w:rsid w:val="00CD2C7E"/>
    <w:rsid w:val="00CF47D8"/>
    <w:rsid w:val="00D27D12"/>
    <w:rsid w:val="00D44B94"/>
    <w:rsid w:val="00D46965"/>
    <w:rsid w:val="00D52440"/>
    <w:rsid w:val="00D73876"/>
    <w:rsid w:val="00D8622C"/>
    <w:rsid w:val="00D90229"/>
    <w:rsid w:val="00D9418E"/>
    <w:rsid w:val="00D96FBA"/>
    <w:rsid w:val="00DD031E"/>
    <w:rsid w:val="00DD2622"/>
    <w:rsid w:val="00DD58B8"/>
    <w:rsid w:val="00DE095F"/>
    <w:rsid w:val="00DE791A"/>
    <w:rsid w:val="00E21BE0"/>
    <w:rsid w:val="00E2518D"/>
    <w:rsid w:val="00E3464A"/>
    <w:rsid w:val="00E521E3"/>
    <w:rsid w:val="00E60431"/>
    <w:rsid w:val="00E704BC"/>
    <w:rsid w:val="00E726E1"/>
    <w:rsid w:val="00ED746D"/>
    <w:rsid w:val="00EF20B2"/>
    <w:rsid w:val="00F37F86"/>
    <w:rsid w:val="00F41972"/>
    <w:rsid w:val="00F513FE"/>
    <w:rsid w:val="00F6114C"/>
    <w:rsid w:val="00F61D8D"/>
    <w:rsid w:val="00F82CE6"/>
    <w:rsid w:val="00FB2EDF"/>
    <w:rsid w:val="00FD214C"/>
    <w:rsid w:val="194A0B26"/>
    <w:rsid w:val="3F9B22E6"/>
    <w:rsid w:val="48C40665"/>
    <w:rsid w:val="5E7301B8"/>
    <w:rsid w:val="69EC22B4"/>
    <w:rsid w:val="6F1E1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semiHidden/>
    <w:unhideWhenUsed/>
    <w:qFormat/>
    <w:uiPriority w:val="99"/>
    <w:pPr>
      <w:ind w:firstLine="420" w:firstLineChars="100"/>
    </w:pPr>
  </w:style>
  <w:style w:type="paragraph" w:styleId="3">
    <w:name w:val="Body Text"/>
    <w:basedOn w:val="1"/>
    <w:semiHidden/>
    <w:unhideWhenUsed/>
    <w:qFormat/>
    <w:uiPriority w:val="99"/>
    <w:pPr>
      <w:spacing w:after="120"/>
    </w:p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网格型1"/>
    <w:basedOn w:val="4"/>
    <w:qFormat/>
    <w:uiPriority w:val="59"/>
    <w:rPr>
      <w:rFonts w:asciiTheme="minorHAnsi" w:hAnsiTheme="minorHAnsi" w:eastAsiaTheme="minorEastAsia" w:cstheme="minorBidi"/>
      <w:color w:val="auto"/>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272</Words>
  <Characters>1556</Characters>
  <Lines>12</Lines>
  <Paragraphs>3</Paragraphs>
  <TotalTime>0</TotalTime>
  <ScaleCrop>false</ScaleCrop>
  <LinksUpToDate>false</LinksUpToDate>
  <CharactersWithSpaces>1825</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2021-06-30T18:02:00Z</dcterms:created>
  <dc:creator>GLO</dc:creator>
  <cp:lastModifiedBy>greatwall</cp:lastModifiedBy>
  <dcterms:modified xsi:type="dcterms:W3CDTF">2021-07-19T16:20:04Z</dcterms:modified>
  <dc:title>经营者集中简易案件公示表</dc:title>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