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Times New Roman" w:hAnsi="Times New Roman" w:eastAsia="仿宋_GB2312"/>
          <w:sz w:val="30"/>
          <w:szCs w:val="30"/>
        </w:rPr>
      </w:pPr>
      <w:r>
        <w:rPr>
          <w:rFonts w:ascii="Times New Roman" w:hAnsi="Times New Roman" w:eastAsia="仿宋_GB2312"/>
          <w:b/>
          <w:sz w:val="30"/>
          <w:szCs w:val="30"/>
        </w:rPr>
        <w:t>经营者集中简易案件公示表</w:t>
      </w:r>
    </w:p>
    <w:p>
      <w:pPr>
        <w:spacing w:line="440" w:lineRule="exact"/>
        <w:ind w:firstLine="845" w:firstLineChars="302"/>
        <w:rPr>
          <w:rFonts w:ascii="Times New Roman" w:hAnsi="Times New Roman" w:eastAsia="仿宋_GB2312"/>
          <w:sz w:val="28"/>
          <w:szCs w:val="28"/>
        </w:rPr>
      </w:pPr>
    </w:p>
    <w:tbl>
      <w:tblPr>
        <w:tblStyle w:val="9"/>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44" w:hRule="atLeast"/>
        </w:trPr>
        <w:tc>
          <w:tcPr>
            <w:tcW w:w="1809" w:type="dxa"/>
            <w:shd w:val="clear" w:color="auto" w:fill="D9D9D9"/>
            <w:vAlign w:val="center"/>
          </w:tcPr>
          <w:p>
            <w:pPr>
              <w:spacing w:before="156" w:beforeLines="50" w:after="156" w:afterLines="50"/>
              <w:jc w:val="center"/>
              <w:rPr>
                <w:rFonts w:ascii="Times New Roman" w:hAnsi="Times New Roman" w:eastAsia="仿宋_GB2312"/>
                <w:color w:val="333333"/>
                <w:kern w:val="0"/>
                <w:sz w:val="24"/>
                <w:szCs w:val="24"/>
              </w:rPr>
            </w:pPr>
            <w:r>
              <w:rPr>
                <w:rFonts w:ascii="Times New Roman" w:hAnsi="Times New Roman" w:eastAsia="仿宋_GB2312"/>
                <w:color w:val="333333"/>
                <w:kern w:val="0"/>
                <w:sz w:val="24"/>
                <w:szCs w:val="24"/>
              </w:rPr>
              <w:t>案件名称</w:t>
            </w:r>
          </w:p>
        </w:tc>
        <w:tc>
          <w:tcPr>
            <w:tcW w:w="6949" w:type="dxa"/>
            <w:gridSpan w:val="2"/>
            <w:vAlign w:val="center"/>
          </w:tcPr>
          <w:p>
            <w:pPr>
              <w:spacing w:before="156" w:beforeLines="50" w:after="156" w:afterLines="50"/>
              <w:rPr>
                <w:rFonts w:ascii="Times New Roman" w:hAnsi="Times New Roman" w:eastAsia="仿宋_GB2312"/>
                <w:color w:val="333333"/>
                <w:kern w:val="0"/>
                <w:sz w:val="24"/>
                <w:szCs w:val="24"/>
              </w:rPr>
            </w:pPr>
            <w:r>
              <w:rPr>
                <w:rFonts w:hint="eastAsia" w:ascii="Times New Roman" w:hAnsi="Times New Roman" w:eastAsia="仿宋_GB2312"/>
                <w:color w:val="333333"/>
                <w:kern w:val="0"/>
                <w:sz w:val="24"/>
                <w:szCs w:val="24"/>
              </w:rPr>
              <w:t>江铃汽车股份有限公司（“</w:t>
            </w:r>
            <w:r>
              <w:rPr>
                <w:rFonts w:hint="eastAsia" w:ascii="Times New Roman" w:hAnsi="Times New Roman" w:eastAsia="仿宋_GB2312"/>
                <w:b/>
                <w:color w:val="333333"/>
                <w:kern w:val="0"/>
                <w:sz w:val="24"/>
                <w:szCs w:val="24"/>
              </w:rPr>
              <w:t>江铃汽车</w:t>
            </w:r>
            <w:r>
              <w:rPr>
                <w:rFonts w:hint="eastAsia" w:ascii="Times New Roman" w:hAnsi="Times New Roman" w:eastAsia="仿宋_GB2312"/>
                <w:color w:val="333333"/>
                <w:kern w:val="0"/>
                <w:sz w:val="24"/>
                <w:szCs w:val="24"/>
              </w:rPr>
              <w:t>”）与福特汽车公司（“</w:t>
            </w:r>
            <w:r>
              <w:rPr>
                <w:rFonts w:hint="eastAsia" w:ascii="Times New Roman" w:hAnsi="Times New Roman" w:eastAsia="仿宋_GB2312"/>
                <w:b/>
                <w:color w:val="333333"/>
                <w:kern w:val="0"/>
                <w:sz w:val="24"/>
                <w:szCs w:val="24"/>
              </w:rPr>
              <w:t>福特汽车</w:t>
            </w:r>
            <w:r>
              <w:rPr>
                <w:rFonts w:hint="eastAsia" w:ascii="Times New Roman" w:hAnsi="Times New Roman" w:eastAsia="仿宋_GB2312"/>
                <w:color w:val="333333"/>
                <w:kern w:val="0"/>
                <w:sz w:val="24"/>
                <w:szCs w:val="24"/>
              </w:rPr>
              <w:t>”）新设合营企业案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vAlign w:val="center"/>
          </w:tcPr>
          <w:p>
            <w:pPr>
              <w:spacing w:before="156" w:beforeLines="50" w:after="156" w:afterLines="50"/>
              <w:jc w:val="center"/>
              <w:rPr>
                <w:rFonts w:ascii="Times New Roman" w:hAnsi="Times New Roman" w:eastAsia="仿宋_GB2312"/>
                <w:color w:val="333333"/>
                <w:kern w:val="0"/>
                <w:sz w:val="24"/>
                <w:szCs w:val="24"/>
              </w:rPr>
            </w:pPr>
            <w:r>
              <w:rPr>
                <w:rFonts w:ascii="Times New Roman" w:hAnsi="Times New Roman" w:eastAsia="仿宋_GB2312"/>
                <w:color w:val="333333"/>
                <w:kern w:val="0"/>
                <w:sz w:val="24"/>
                <w:szCs w:val="24"/>
              </w:rPr>
              <w:t>交易概况</w:t>
            </w:r>
          </w:p>
          <w:p>
            <w:pPr>
              <w:spacing w:before="156" w:beforeLines="50" w:after="156" w:afterLines="50"/>
              <w:jc w:val="center"/>
              <w:rPr>
                <w:rFonts w:ascii="Times New Roman" w:hAnsi="Times New Roman" w:eastAsia="仿宋_GB2312"/>
                <w:color w:val="333333"/>
                <w:kern w:val="0"/>
                <w:sz w:val="24"/>
                <w:szCs w:val="24"/>
              </w:rPr>
            </w:pPr>
            <w:r>
              <w:rPr>
                <w:rFonts w:ascii="Times New Roman" w:hAnsi="Times New Roman" w:eastAsia="仿宋_GB2312"/>
                <w:color w:val="333333"/>
                <w:kern w:val="0"/>
                <w:sz w:val="24"/>
                <w:szCs w:val="24"/>
              </w:rPr>
              <w:t>（限200字内）</w:t>
            </w:r>
          </w:p>
        </w:tc>
        <w:tc>
          <w:tcPr>
            <w:tcW w:w="6949" w:type="dxa"/>
            <w:gridSpan w:val="2"/>
            <w:vAlign w:val="center"/>
          </w:tcPr>
          <w:p>
            <w:pPr>
              <w:spacing w:before="156" w:beforeLines="50" w:after="156" w:afterLines="50"/>
              <w:rPr>
                <w:rFonts w:ascii="Times New Roman" w:hAnsi="Times New Roman" w:eastAsia="仿宋_GB2312"/>
                <w:color w:val="333333"/>
                <w:kern w:val="0"/>
                <w:sz w:val="24"/>
                <w:szCs w:val="24"/>
              </w:rPr>
            </w:pPr>
            <w:r>
              <w:rPr>
                <w:rFonts w:ascii="Times New Roman" w:hAnsi="Times New Roman" w:eastAsia="仿宋_GB2312"/>
                <w:color w:val="333333"/>
                <w:kern w:val="0"/>
                <w:sz w:val="24"/>
                <w:szCs w:val="24"/>
              </w:rPr>
              <w:t>江铃汽车和福特汽车拟合资成立江铃福特汽车科技（上海）有限公司（“合营企业”）。为江铃汽车现有的福特品牌乘用车提供分销服务、直销福特品牌进口轻型商用车、以及作为业务主体批售或者直销江铃汽车新增福特品牌乘用车和轻型商用车</w:t>
            </w:r>
            <w:r>
              <w:rPr>
                <w:rFonts w:hint="eastAsia" w:ascii="Times New Roman" w:hAnsi="Times New Roman" w:eastAsia="仿宋_GB2312"/>
                <w:color w:val="333333"/>
                <w:kern w:val="0"/>
                <w:sz w:val="24"/>
                <w:szCs w:val="24"/>
              </w:rPr>
              <w:t>。</w:t>
            </w:r>
            <w:r>
              <w:rPr>
                <w:rFonts w:ascii="Times New Roman" w:hAnsi="Times New Roman" w:eastAsia="仿宋_GB2312"/>
                <w:color w:val="333333"/>
                <w:kern w:val="0"/>
                <w:sz w:val="24"/>
                <w:szCs w:val="24"/>
              </w:rPr>
              <w:t>交易完成后，江铃汽车与福特汽车</w:t>
            </w:r>
            <w:r>
              <w:rPr>
                <w:rFonts w:hint="eastAsia" w:ascii="Times New Roman" w:hAnsi="Times New Roman" w:eastAsia="仿宋_GB2312"/>
                <w:color w:val="333333"/>
                <w:kern w:val="0"/>
                <w:sz w:val="24"/>
                <w:szCs w:val="24"/>
              </w:rPr>
              <w:t>将</w:t>
            </w:r>
            <w:r>
              <w:rPr>
                <w:rFonts w:ascii="Times New Roman" w:hAnsi="Times New Roman" w:eastAsia="仿宋_GB2312"/>
                <w:color w:val="333333"/>
                <w:kern w:val="0"/>
                <w:sz w:val="24"/>
                <w:szCs w:val="24"/>
              </w:rPr>
              <w:t>共同控制合营企业</w:t>
            </w:r>
            <w:r>
              <w:rPr>
                <w:rFonts w:hint="eastAsia" w:ascii="Times New Roman" w:hAnsi="Times New Roman" w:eastAsia="仿宋_GB2312"/>
                <w:color w:val="333333"/>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before="156" w:beforeLines="50" w:after="156" w:afterLines="50"/>
              <w:jc w:val="center"/>
              <w:rPr>
                <w:rFonts w:ascii="Times New Roman" w:hAnsi="Times New Roman" w:eastAsia="仿宋_GB2312"/>
                <w:color w:val="333333"/>
                <w:kern w:val="0"/>
                <w:sz w:val="24"/>
                <w:szCs w:val="24"/>
              </w:rPr>
            </w:pPr>
            <w:r>
              <w:rPr>
                <w:rFonts w:ascii="Times New Roman" w:hAnsi="Times New Roman" w:eastAsia="仿宋_GB2312"/>
                <w:color w:val="333333"/>
                <w:kern w:val="0"/>
                <w:sz w:val="24"/>
                <w:szCs w:val="24"/>
              </w:rPr>
              <w:t>参与集中的</w:t>
            </w:r>
          </w:p>
          <w:p>
            <w:pPr>
              <w:spacing w:before="156" w:beforeLines="50" w:after="156" w:afterLines="50"/>
              <w:jc w:val="center"/>
              <w:rPr>
                <w:rFonts w:ascii="Times New Roman" w:hAnsi="Times New Roman" w:eastAsia="仿宋_GB2312"/>
                <w:color w:val="333333"/>
                <w:kern w:val="0"/>
                <w:sz w:val="24"/>
                <w:szCs w:val="24"/>
              </w:rPr>
            </w:pPr>
            <w:r>
              <w:rPr>
                <w:rFonts w:ascii="Times New Roman" w:hAnsi="Times New Roman" w:eastAsia="仿宋_GB2312"/>
                <w:color w:val="333333"/>
                <w:kern w:val="0"/>
                <w:sz w:val="24"/>
                <w:szCs w:val="24"/>
              </w:rPr>
              <w:t>经营者简介</w:t>
            </w:r>
          </w:p>
        </w:tc>
        <w:tc>
          <w:tcPr>
            <w:tcW w:w="1796" w:type="dxa"/>
          </w:tcPr>
          <w:p>
            <w:pPr>
              <w:spacing w:before="156" w:beforeLines="50" w:after="156" w:afterLines="50"/>
              <w:rPr>
                <w:rFonts w:ascii="Times New Roman" w:hAnsi="Times New Roman" w:eastAsia="仿宋_GB2312"/>
                <w:color w:val="333333"/>
                <w:kern w:val="0"/>
                <w:sz w:val="24"/>
                <w:szCs w:val="24"/>
              </w:rPr>
            </w:pPr>
            <w:r>
              <w:rPr>
                <w:rFonts w:ascii="Times New Roman" w:hAnsi="Times New Roman" w:eastAsia="仿宋_GB2312"/>
                <w:color w:val="333333"/>
                <w:kern w:val="0"/>
                <w:sz w:val="24"/>
                <w:szCs w:val="24"/>
              </w:rPr>
              <w:t>1、</w:t>
            </w:r>
            <w:r>
              <w:rPr>
                <w:rFonts w:hint="eastAsia" w:ascii="Times New Roman" w:hAnsi="Times New Roman" w:eastAsia="仿宋_GB2312"/>
                <w:color w:val="333333"/>
                <w:kern w:val="0"/>
                <w:sz w:val="24"/>
                <w:szCs w:val="24"/>
              </w:rPr>
              <w:t>江铃汽车</w:t>
            </w:r>
          </w:p>
        </w:tc>
        <w:tc>
          <w:tcPr>
            <w:tcW w:w="5153" w:type="dxa"/>
          </w:tcPr>
          <w:p>
            <w:pPr>
              <w:spacing w:before="156" w:beforeLines="50" w:after="156" w:afterLines="50"/>
              <w:rPr>
                <w:rFonts w:ascii="Times New Roman" w:hAnsi="Times New Roman" w:eastAsia="仿宋_GB2312"/>
                <w:color w:val="333333"/>
                <w:kern w:val="0"/>
                <w:sz w:val="24"/>
                <w:szCs w:val="24"/>
              </w:rPr>
            </w:pPr>
            <w:r>
              <w:rPr>
                <w:rFonts w:hint="eastAsia" w:ascii="Times New Roman" w:hAnsi="Times New Roman" w:eastAsia="仿宋_GB2312"/>
                <w:color w:val="333333"/>
                <w:kern w:val="0"/>
                <w:sz w:val="24"/>
                <w:szCs w:val="24"/>
              </w:rPr>
              <w:t>江铃汽车</w:t>
            </w:r>
            <w:r>
              <w:rPr>
                <w:rFonts w:ascii="Times New Roman" w:hAnsi="Times New Roman" w:eastAsia="仿宋_GB2312"/>
                <w:color w:val="333333"/>
                <w:kern w:val="0"/>
                <w:sz w:val="24"/>
                <w:szCs w:val="24"/>
              </w:rPr>
              <w:t>主要产品和业务范围</w:t>
            </w:r>
            <w:r>
              <w:rPr>
                <w:rFonts w:hint="eastAsia" w:ascii="Times New Roman" w:hAnsi="Times New Roman" w:eastAsia="仿宋_GB2312"/>
                <w:color w:val="333333"/>
                <w:kern w:val="0"/>
                <w:sz w:val="24"/>
                <w:szCs w:val="24"/>
              </w:rPr>
              <w:t>是</w:t>
            </w:r>
            <w:r>
              <w:rPr>
                <w:rFonts w:ascii="Times New Roman" w:hAnsi="Times New Roman" w:eastAsia="仿宋_GB2312"/>
                <w:color w:val="333333"/>
                <w:kern w:val="0"/>
                <w:sz w:val="24"/>
                <w:szCs w:val="24"/>
              </w:rPr>
              <w:t>生产</w:t>
            </w:r>
            <w:r>
              <w:rPr>
                <w:rFonts w:hint="eastAsia" w:ascii="Times New Roman" w:hAnsi="Times New Roman" w:eastAsia="仿宋_GB2312"/>
                <w:color w:val="333333"/>
                <w:kern w:val="0"/>
                <w:sz w:val="24"/>
                <w:szCs w:val="24"/>
              </w:rPr>
              <w:t>和</w:t>
            </w:r>
            <w:r>
              <w:rPr>
                <w:rFonts w:ascii="Times New Roman" w:hAnsi="Times New Roman" w:eastAsia="仿宋_GB2312"/>
                <w:color w:val="333333"/>
                <w:kern w:val="0"/>
                <w:sz w:val="24"/>
                <w:szCs w:val="24"/>
              </w:rPr>
              <w:t>销售</w:t>
            </w:r>
            <w:r>
              <w:rPr>
                <w:rFonts w:hint="eastAsia" w:ascii="Times New Roman" w:hAnsi="Times New Roman" w:eastAsia="仿宋_GB2312"/>
                <w:color w:val="333333"/>
                <w:kern w:val="0"/>
                <w:sz w:val="24"/>
                <w:szCs w:val="24"/>
              </w:rPr>
              <w:t>商用车、乘用车及相关零部件</w:t>
            </w:r>
            <w:r>
              <w:rPr>
                <w:rFonts w:ascii="Times New Roman" w:hAnsi="Times New Roman" w:eastAsia="仿宋_GB2312"/>
                <w:color w:val="333333"/>
                <w:kern w:val="0"/>
                <w:sz w:val="24"/>
                <w:szCs w:val="24"/>
              </w:rPr>
              <w:t>，并提供相关售后服务</w:t>
            </w:r>
            <w:r>
              <w:rPr>
                <w:rFonts w:hint="eastAsia" w:ascii="Times New Roman" w:hAnsi="Times New Roman" w:eastAsia="仿宋_GB2312"/>
                <w:color w:val="333333"/>
                <w:kern w:val="0"/>
                <w:sz w:val="24"/>
                <w:szCs w:val="24"/>
              </w:rPr>
              <w:t>。江铃汽车亦曾</w:t>
            </w:r>
            <w:r>
              <w:rPr>
                <w:rFonts w:ascii="Times New Roman" w:hAnsi="Times New Roman" w:eastAsia="仿宋_GB2312"/>
                <w:color w:val="333333"/>
                <w:kern w:val="0"/>
                <w:sz w:val="24"/>
                <w:szCs w:val="24"/>
              </w:rPr>
              <w:t>作为</w:t>
            </w:r>
            <w:r>
              <w:rPr>
                <w:rFonts w:hint="eastAsia" w:ascii="Times New Roman" w:hAnsi="Times New Roman" w:eastAsia="仿宋_GB2312"/>
                <w:color w:val="333333"/>
                <w:kern w:val="0"/>
                <w:sz w:val="24"/>
                <w:szCs w:val="24"/>
              </w:rPr>
              <w:t>部分</w:t>
            </w:r>
            <w:r>
              <w:rPr>
                <w:rFonts w:ascii="Times New Roman" w:hAnsi="Times New Roman" w:eastAsia="仿宋_GB2312"/>
                <w:color w:val="333333"/>
                <w:kern w:val="0"/>
                <w:sz w:val="24"/>
                <w:szCs w:val="24"/>
              </w:rPr>
              <w:t>福特汽车进口汽车品牌经销商，从事</w:t>
            </w:r>
            <w:r>
              <w:rPr>
                <w:rFonts w:hint="eastAsia" w:ascii="Times New Roman" w:hAnsi="Times New Roman" w:eastAsia="仿宋_GB2312"/>
                <w:color w:val="333333"/>
                <w:kern w:val="0"/>
                <w:sz w:val="24"/>
                <w:szCs w:val="24"/>
              </w:rPr>
              <w:t>福特</w:t>
            </w:r>
            <w:r>
              <w:rPr>
                <w:rFonts w:ascii="Times New Roman" w:hAnsi="Times New Roman" w:eastAsia="仿宋_GB2312"/>
                <w:color w:val="333333"/>
                <w:kern w:val="0"/>
                <w:sz w:val="24"/>
                <w:szCs w:val="24"/>
              </w:rPr>
              <w:t>品牌汽车的</w:t>
            </w:r>
            <w:r>
              <w:rPr>
                <w:rFonts w:hint="eastAsia" w:ascii="Times New Roman" w:hAnsi="Times New Roman" w:eastAsia="仿宋_GB2312"/>
                <w:color w:val="333333"/>
                <w:kern w:val="0"/>
                <w:sz w:val="24"/>
                <w:szCs w:val="24"/>
              </w:rPr>
              <w:t>整车、零部件的批发和零售。此外，江铃汽车还</w:t>
            </w:r>
            <w:r>
              <w:rPr>
                <w:rFonts w:ascii="Times New Roman" w:hAnsi="Times New Roman" w:eastAsia="仿宋_GB2312"/>
                <w:color w:val="333333"/>
                <w:kern w:val="0"/>
                <w:sz w:val="24"/>
                <w:szCs w:val="24"/>
              </w:rPr>
              <w:t>提供与汽车生产和销售有关的企业管理、咨询服务</w:t>
            </w:r>
            <w:r>
              <w:rPr>
                <w:rFonts w:hint="eastAsia" w:ascii="Times New Roman" w:hAnsi="Times New Roman" w:eastAsia="仿宋_GB2312"/>
                <w:color w:val="333333"/>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before="156" w:beforeLines="50" w:after="156" w:afterLines="50"/>
              <w:jc w:val="center"/>
              <w:rPr>
                <w:rFonts w:ascii="Times New Roman" w:hAnsi="Times New Roman" w:eastAsia="仿宋_GB2312"/>
                <w:color w:val="333333"/>
                <w:kern w:val="0"/>
                <w:sz w:val="24"/>
                <w:szCs w:val="24"/>
              </w:rPr>
            </w:pPr>
          </w:p>
        </w:tc>
        <w:tc>
          <w:tcPr>
            <w:tcW w:w="1796" w:type="dxa"/>
          </w:tcPr>
          <w:p>
            <w:pPr>
              <w:spacing w:before="156" w:beforeLines="50" w:after="156" w:afterLines="50"/>
              <w:rPr>
                <w:rFonts w:ascii="Times New Roman" w:hAnsi="Times New Roman" w:eastAsia="仿宋_GB2312"/>
                <w:color w:val="333333"/>
                <w:kern w:val="0"/>
                <w:sz w:val="24"/>
                <w:szCs w:val="24"/>
              </w:rPr>
            </w:pPr>
            <w:r>
              <w:rPr>
                <w:rFonts w:ascii="Times New Roman" w:hAnsi="Times New Roman" w:eastAsia="仿宋_GB2312"/>
                <w:color w:val="333333"/>
                <w:kern w:val="0"/>
                <w:sz w:val="24"/>
                <w:szCs w:val="24"/>
              </w:rPr>
              <w:t>2、</w:t>
            </w:r>
            <w:r>
              <w:rPr>
                <w:rFonts w:hint="eastAsia" w:ascii="Times New Roman" w:hAnsi="Times New Roman" w:eastAsia="仿宋_GB2312"/>
                <w:color w:val="333333"/>
                <w:kern w:val="0"/>
                <w:sz w:val="24"/>
                <w:szCs w:val="24"/>
              </w:rPr>
              <w:t>福特汽车</w:t>
            </w:r>
          </w:p>
        </w:tc>
        <w:tc>
          <w:tcPr>
            <w:tcW w:w="5153" w:type="dxa"/>
          </w:tcPr>
          <w:p>
            <w:pPr>
              <w:snapToGrid w:val="0"/>
              <w:spacing w:before="156" w:beforeLines="50" w:after="156" w:afterLines="50"/>
              <w:rPr>
                <w:rFonts w:ascii="Times New Roman" w:hAnsi="Times New Roman" w:eastAsia="仿宋_GB2312"/>
                <w:color w:val="333333"/>
                <w:kern w:val="0"/>
                <w:sz w:val="24"/>
                <w:szCs w:val="24"/>
              </w:rPr>
            </w:pPr>
            <w:r>
              <w:rPr>
                <w:rFonts w:ascii="Times New Roman" w:hAnsi="Times New Roman" w:eastAsia="仿宋_GB2312"/>
                <w:color w:val="333333"/>
                <w:kern w:val="0"/>
                <w:sz w:val="24"/>
                <w:szCs w:val="24"/>
              </w:rPr>
              <w:t>福特汽车是福特汽车集团下众多公司的最终母公司。福特汽车（包括集团众多公司）从事一系列福特品牌轿车、卡车、SUV、电动车、以及林肯品牌豪华车型的设计、制造、营销和售后服务，通过福特汽车信贷公司（Ford Motor Credit Company）提供金融服务，并在电动车、自动驾驶汽车和移动出行领域</w:t>
            </w:r>
            <w:r>
              <w:rPr>
                <w:rFonts w:hint="eastAsia" w:ascii="Times New Roman" w:hAnsi="Times New Roman" w:eastAsia="仿宋_GB2312"/>
                <w:color w:val="333333"/>
                <w:kern w:val="0"/>
                <w:sz w:val="24"/>
                <w:szCs w:val="24"/>
              </w:rPr>
              <w:t>从事相关业务。</w:t>
            </w:r>
          </w:p>
          <w:p>
            <w:pPr>
              <w:snapToGrid w:val="0"/>
              <w:spacing w:before="156" w:beforeLines="50" w:after="156" w:afterLines="50"/>
              <w:rPr>
                <w:rFonts w:ascii="Times New Roman" w:hAnsi="Times New Roman" w:eastAsia="仿宋_GB2312"/>
                <w:color w:val="333333"/>
                <w:kern w:val="0"/>
                <w:sz w:val="24"/>
                <w:szCs w:val="24"/>
              </w:rPr>
            </w:pPr>
            <w:r>
              <w:rPr>
                <w:rFonts w:ascii="Times New Roman" w:hAnsi="Times New Roman" w:eastAsia="仿宋_GB2312"/>
                <w:color w:val="333333"/>
                <w:kern w:val="0"/>
                <w:sz w:val="24"/>
                <w:szCs w:val="24"/>
              </w:rPr>
              <w:t>福特汽车通过其在中国大陆地区成立的全资子公司和合资公司，主要从事汽车领域的投资；福特品牌和林肯品牌汽车的研发、生产、进口、营销和售后服务；汽车金融服务等</w:t>
            </w:r>
            <w:r>
              <w:rPr>
                <w:rFonts w:hint="eastAsia" w:ascii="Times New Roman" w:hAnsi="Times New Roman" w:eastAsia="仿宋_GB2312"/>
                <w:color w:val="333333"/>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before="156" w:beforeLines="50" w:after="156" w:afterLines="50"/>
              <w:jc w:val="center"/>
              <w:rPr>
                <w:rFonts w:ascii="Times New Roman" w:hAnsi="Times New Roman" w:eastAsia="仿宋_GB2312"/>
                <w:color w:val="333333"/>
                <w:kern w:val="0"/>
                <w:sz w:val="24"/>
                <w:szCs w:val="24"/>
              </w:rPr>
            </w:pPr>
            <w:r>
              <w:rPr>
                <w:rFonts w:ascii="Times New Roman" w:hAnsi="Times New Roman" w:eastAsia="仿宋_GB2312"/>
                <w:color w:val="333333"/>
                <w:kern w:val="0"/>
                <w:sz w:val="24"/>
                <w:szCs w:val="24"/>
              </w:rPr>
              <w:t>简易案件理由（可以单选，也可以多选）</w:t>
            </w:r>
          </w:p>
        </w:tc>
        <w:tc>
          <w:tcPr>
            <w:tcW w:w="6949" w:type="dxa"/>
            <w:gridSpan w:val="2"/>
          </w:tcPr>
          <w:p>
            <w:pPr>
              <w:spacing w:before="156" w:beforeLines="50" w:after="156" w:afterLines="50"/>
              <w:rPr>
                <w:rFonts w:ascii="Times New Roman" w:hAnsi="Times New Roman" w:eastAsia="仿宋_GB2312"/>
                <w:color w:val="333333"/>
                <w:kern w:val="0"/>
                <w:sz w:val="24"/>
                <w:szCs w:val="24"/>
              </w:rPr>
            </w:pPr>
            <w:r>
              <w:rPr>
                <w:rFonts w:ascii="Times New Roman" w:hAnsi="Times New Roman" w:eastAsia="仿宋_GB2312"/>
                <w:color w:val="333333"/>
                <w:kern w:val="0"/>
                <w:sz w:val="24"/>
                <w:szCs w:val="24"/>
              </w:rPr>
              <w:sym w:font="Wingdings" w:char="F0FE"/>
            </w:r>
            <w:r>
              <w:rPr>
                <w:rFonts w:ascii="Times New Roman" w:hAnsi="Times New Roman" w:eastAsia="仿宋_GB2312"/>
                <w:color w:val="333333"/>
                <w:kern w:val="0"/>
                <w:sz w:val="24"/>
                <w:szCs w:val="24"/>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before="156" w:beforeLines="50" w:after="156" w:afterLines="50"/>
              <w:jc w:val="center"/>
              <w:rPr>
                <w:rFonts w:ascii="Times New Roman" w:hAnsi="Times New Roman" w:eastAsia="仿宋_GB2312"/>
                <w:color w:val="333333"/>
                <w:kern w:val="0"/>
                <w:sz w:val="24"/>
                <w:szCs w:val="24"/>
              </w:rPr>
            </w:pPr>
          </w:p>
        </w:tc>
        <w:tc>
          <w:tcPr>
            <w:tcW w:w="6949" w:type="dxa"/>
            <w:gridSpan w:val="2"/>
          </w:tcPr>
          <w:p>
            <w:pPr>
              <w:spacing w:before="156" w:beforeLines="50" w:after="156" w:afterLines="50"/>
              <w:rPr>
                <w:rFonts w:ascii="Times New Roman" w:hAnsi="Times New Roman" w:eastAsia="仿宋_GB2312"/>
                <w:color w:val="333333"/>
                <w:kern w:val="0"/>
                <w:sz w:val="24"/>
                <w:szCs w:val="24"/>
              </w:rPr>
            </w:pPr>
            <w:r>
              <w:rPr>
                <w:rFonts w:ascii="Times New Roman" w:hAnsi="Times New Roman" w:eastAsia="仿宋_GB2312"/>
                <w:color w:val="333333"/>
                <w:kern w:val="0"/>
                <w:sz w:val="24"/>
                <w:szCs w:val="24"/>
              </w:rPr>
              <w:sym w:font="Wingdings" w:char="F0A8"/>
            </w:r>
            <w:r>
              <w:rPr>
                <w:rFonts w:ascii="Times New Roman" w:hAnsi="Times New Roman" w:eastAsia="仿宋_GB2312"/>
                <w:color w:val="333333"/>
                <w:kern w:val="0"/>
                <w:sz w:val="24"/>
                <w:szCs w:val="24"/>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before="156" w:beforeLines="50" w:after="156" w:afterLines="50"/>
              <w:jc w:val="center"/>
              <w:rPr>
                <w:rFonts w:ascii="Times New Roman" w:hAnsi="Times New Roman" w:eastAsia="仿宋_GB2312"/>
                <w:color w:val="333333"/>
                <w:kern w:val="0"/>
                <w:sz w:val="24"/>
                <w:szCs w:val="24"/>
              </w:rPr>
            </w:pPr>
          </w:p>
        </w:tc>
        <w:tc>
          <w:tcPr>
            <w:tcW w:w="6949" w:type="dxa"/>
            <w:gridSpan w:val="2"/>
          </w:tcPr>
          <w:p>
            <w:pPr>
              <w:spacing w:before="156" w:beforeLines="50" w:after="156" w:afterLines="50"/>
              <w:rPr>
                <w:rFonts w:ascii="Times New Roman" w:hAnsi="Times New Roman" w:eastAsia="仿宋_GB2312"/>
                <w:color w:val="333333"/>
                <w:kern w:val="0"/>
                <w:sz w:val="24"/>
                <w:szCs w:val="24"/>
              </w:rPr>
            </w:pPr>
            <w:r>
              <w:rPr>
                <w:rFonts w:ascii="Times New Roman" w:hAnsi="Times New Roman" w:eastAsia="仿宋_GB2312"/>
                <w:color w:val="333333"/>
                <w:kern w:val="0"/>
                <w:sz w:val="24"/>
                <w:szCs w:val="24"/>
              </w:rPr>
              <w:sym w:font="Wingdings" w:char="F0A8"/>
            </w:r>
            <w:r>
              <w:rPr>
                <w:rFonts w:ascii="Times New Roman" w:hAnsi="Times New Roman" w:eastAsia="仿宋_GB2312"/>
                <w:color w:val="333333"/>
                <w:kern w:val="0"/>
                <w:sz w:val="24"/>
                <w:szCs w:val="24"/>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before="156" w:beforeLines="50" w:after="156" w:afterLines="50"/>
              <w:jc w:val="center"/>
              <w:rPr>
                <w:rFonts w:ascii="Times New Roman" w:hAnsi="Times New Roman" w:eastAsia="仿宋_GB2312"/>
                <w:color w:val="333333"/>
                <w:kern w:val="0"/>
                <w:sz w:val="24"/>
                <w:szCs w:val="24"/>
              </w:rPr>
            </w:pPr>
          </w:p>
        </w:tc>
        <w:tc>
          <w:tcPr>
            <w:tcW w:w="6949" w:type="dxa"/>
            <w:gridSpan w:val="2"/>
          </w:tcPr>
          <w:p>
            <w:pPr>
              <w:spacing w:before="156" w:beforeLines="50" w:after="156" w:afterLines="50"/>
              <w:rPr>
                <w:rFonts w:ascii="Times New Roman" w:hAnsi="Times New Roman" w:eastAsia="仿宋_GB2312"/>
                <w:color w:val="333333"/>
                <w:kern w:val="0"/>
                <w:sz w:val="24"/>
                <w:szCs w:val="24"/>
              </w:rPr>
            </w:pPr>
            <w:r>
              <w:rPr>
                <w:rFonts w:ascii="Times New Roman" w:hAnsi="Times New Roman" w:eastAsia="仿宋_GB2312"/>
                <w:color w:val="333333"/>
                <w:kern w:val="0"/>
                <w:sz w:val="24"/>
                <w:szCs w:val="24"/>
              </w:rPr>
              <w:sym w:font="Wingdings" w:char="F0A8"/>
            </w:r>
            <w:r>
              <w:rPr>
                <w:rFonts w:ascii="Times New Roman" w:hAnsi="Times New Roman" w:eastAsia="仿宋_GB2312"/>
                <w:color w:val="333333"/>
                <w:kern w:val="0"/>
                <w:sz w:val="24"/>
                <w:szCs w:val="24"/>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before="156" w:beforeLines="50" w:after="156" w:afterLines="50"/>
              <w:jc w:val="center"/>
              <w:rPr>
                <w:rFonts w:ascii="Times New Roman" w:hAnsi="Times New Roman" w:eastAsia="仿宋_GB2312"/>
                <w:color w:val="333333"/>
                <w:kern w:val="0"/>
                <w:sz w:val="24"/>
                <w:szCs w:val="24"/>
              </w:rPr>
            </w:pPr>
          </w:p>
        </w:tc>
        <w:tc>
          <w:tcPr>
            <w:tcW w:w="6949" w:type="dxa"/>
            <w:gridSpan w:val="2"/>
          </w:tcPr>
          <w:p>
            <w:pPr>
              <w:spacing w:before="156" w:beforeLines="50" w:after="156" w:afterLines="50"/>
              <w:rPr>
                <w:rFonts w:ascii="Times New Roman" w:hAnsi="Times New Roman" w:eastAsia="仿宋_GB2312"/>
                <w:color w:val="333333"/>
                <w:kern w:val="0"/>
                <w:sz w:val="24"/>
                <w:szCs w:val="24"/>
              </w:rPr>
            </w:pPr>
            <w:r>
              <w:rPr>
                <w:rFonts w:ascii="Times New Roman" w:hAnsi="Times New Roman" w:eastAsia="仿宋_GB2312"/>
                <w:color w:val="333333"/>
                <w:kern w:val="0"/>
                <w:sz w:val="24"/>
                <w:szCs w:val="24"/>
              </w:rPr>
              <w:sym w:font="Wingdings" w:char="F0A8"/>
            </w:r>
            <w:r>
              <w:rPr>
                <w:rFonts w:ascii="Times New Roman" w:hAnsi="Times New Roman" w:eastAsia="仿宋_GB2312"/>
                <w:color w:val="333333"/>
                <w:kern w:val="0"/>
                <w:sz w:val="24"/>
                <w:szCs w:val="24"/>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before="156" w:beforeLines="50" w:after="156" w:afterLines="50"/>
              <w:jc w:val="center"/>
              <w:rPr>
                <w:rFonts w:ascii="Times New Roman" w:hAnsi="Times New Roman" w:eastAsia="仿宋_GB2312"/>
                <w:color w:val="333333"/>
                <w:kern w:val="0"/>
                <w:sz w:val="24"/>
                <w:szCs w:val="24"/>
              </w:rPr>
            </w:pPr>
          </w:p>
        </w:tc>
        <w:tc>
          <w:tcPr>
            <w:tcW w:w="6949" w:type="dxa"/>
            <w:gridSpan w:val="2"/>
          </w:tcPr>
          <w:p>
            <w:pPr>
              <w:spacing w:before="156" w:beforeLines="50" w:after="156" w:afterLines="50"/>
              <w:rPr>
                <w:rFonts w:ascii="Times New Roman" w:hAnsi="Times New Roman" w:eastAsia="仿宋_GB2312"/>
                <w:color w:val="333333"/>
                <w:kern w:val="0"/>
                <w:sz w:val="24"/>
                <w:szCs w:val="24"/>
              </w:rPr>
            </w:pPr>
            <w:r>
              <w:rPr>
                <w:rFonts w:ascii="Times New Roman" w:hAnsi="Times New Roman" w:eastAsia="仿宋_GB2312"/>
                <w:color w:val="333333"/>
                <w:kern w:val="0"/>
                <w:sz w:val="24"/>
                <w:szCs w:val="24"/>
              </w:rPr>
              <w:sym w:font="Wingdings" w:char="F0A8"/>
            </w:r>
            <w:r>
              <w:rPr>
                <w:rFonts w:ascii="Times New Roman" w:hAnsi="Times New Roman" w:eastAsia="仿宋_GB2312"/>
                <w:color w:val="333333"/>
                <w:kern w:val="0"/>
                <w:sz w:val="24"/>
                <w:szCs w:val="24"/>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before="156" w:beforeLines="50" w:after="156" w:afterLines="50"/>
              <w:jc w:val="center"/>
              <w:rPr>
                <w:rFonts w:ascii="Times New Roman" w:hAnsi="Times New Roman" w:eastAsia="仿宋_GB2312"/>
                <w:color w:val="333333"/>
                <w:kern w:val="0"/>
                <w:sz w:val="24"/>
                <w:szCs w:val="24"/>
              </w:rPr>
            </w:pPr>
            <w:r>
              <w:rPr>
                <w:rFonts w:ascii="Times New Roman" w:hAnsi="Times New Roman" w:eastAsia="仿宋_GB2312"/>
                <w:color w:val="333333"/>
                <w:kern w:val="0"/>
                <w:sz w:val="24"/>
                <w:szCs w:val="24"/>
              </w:rPr>
              <w:t>备注</w:t>
            </w:r>
          </w:p>
        </w:tc>
        <w:tc>
          <w:tcPr>
            <w:tcW w:w="6949" w:type="dxa"/>
            <w:gridSpan w:val="2"/>
          </w:tcPr>
          <w:p>
            <w:pPr>
              <w:spacing w:before="156" w:beforeLines="50" w:after="156" w:afterLines="50"/>
              <w:rPr>
                <w:rFonts w:ascii="Times New Roman" w:hAnsi="Times New Roman" w:eastAsia="仿宋_GB2312"/>
                <w:color w:val="333333"/>
                <w:kern w:val="0"/>
                <w:sz w:val="24"/>
                <w:szCs w:val="24"/>
              </w:rPr>
            </w:pPr>
            <w:r>
              <w:rPr>
                <w:rFonts w:hint="eastAsia" w:ascii="Times New Roman" w:hAnsi="Times New Roman" w:eastAsia="仿宋_GB2312"/>
                <w:b/>
                <w:color w:val="333333"/>
                <w:kern w:val="0"/>
                <w:sz w:val="24"/>
                <w:szCs w:val="24"/>
                <w:u w:val="single"/>
              </w:rPr>
              <w:t>横向重叠市场及市场份额：</w:t>
            </w:r>
            <w:r>
              <w:rPr>
                <w:rFonts w:ascii="Times New Roman" w:hAnsi="Times New Roman" w:eastAsia="仿宋_GB2312"/>
                <w:color w:val="333333"/>
                <w:kern w:val="0"/>
                <w:sz w:val="24"/>
                <w:szCs w:val="24"/>
              </w:rPr>
              <w:t xml:space="preserve"> </w:t>
            </w:r>
          </w:p>
          <w:p>
            <w:pPr>
              <w:pStyle w:val="12"/>
              <w:numPr>
                <w:ilvl w:val="0"/>
                <w:numId w:val="1"/>
              </w:numPr>
              <w:spacing w:before="156" w:beforeLines="50" w:after="156" w:afterLines="50"/>
              <w:ind w:firstLineChars="0"/>
              <w:rPr>
                <w:rFonts w:ascii="Times New Roman" w:hAnsi="Times New Roman" w:eastAsia="仿宋_GB2312"/>
                <w:color w:val="333333"/>
                <w:kern w:val="0"/>
                <w:sz w:val="24"/>
                <w:szCs w:val="24"/>
              </w:rPr>
            </w:pPr>
            <w:r>
              <w:rPr>
                <w:rFonts w:hint="eastAsia" w:ascii="Times New Roman" w:hAnsi="Times New Roman" w:eastAsia="仿宋_GB2312"/>
                <w:color w:val="333333"/>
                <w:kern w:val="0"/>
                <w:sz w:val="24"/>
                <w:szCs w:val="24"/>
              </w:rPr>
              <w:t>中国</w:t>
            </w:r>
            <w:r>
              <w:rPr>
                <w:rFonts w:hint="eastAsia" w:ascii="Times New Roman" w:hAnsi="Times New Roman" w:eastAsia="仿宋_GB2312"/>
                <w:color w:val="333333"/>
                <w:kern w:val="0"/>
                <w:sz w:val="24"/>
                <w:szCs w:val="24"/>
                <w:lang w:eastAsia="zh-CN"/>
              </w:rPr>
              <w:t>境内</w:t>
            </w:r>
            <w:r>
              <w:rPr>
                <w:rFonts w:hint="eastAsia" w:ascii="Times New Roman" w:hAnsi="Times New Roman" w:eastAsia="仿宋_GB2312"/>
                <w:color w:val="333333"/>
                <w:kern w:val="0"/>
                <w:sz w:val="24"/>
                <w:szCs w:val="24"/>
              </w:rPr>
              <w:t>乘用车生产和供应市场：江铃汽车[</w:t>
            </w:r>
            <w:r>
              <w:rPr>
                <w:rFonts w:ascii="Times New Roman" w:hAnsi="Times New Roman" w:eastAsia="仿宋_GB2312"/>
                <w:color w:val="333333"/>
                <w:kern w:val="0"/>
                <w:sz w:val="24"/>
                <w:szCs w:val="24"/>
              </w:rPr>
              <w:t>0-5]%</w:t>
            </w:r>
            <w:r>
              <w:rPr>
                <w:rFonts w:hint="eastAsia" w:ascii="Times New Roman" w:hAnsi="Times New Roman" w:eastAsia="仿宋_GB2312"/>
                <w:color w:val="333333"/>
                <w:kern w:val="0"/>
                <w:sz w:val="24"/>
                <w:szCs w:val="24"/>
              </w:rPr>
              <w:t>；福特中国[</w:t>
            </w:r>
            <w:r>
              <w:rPr>
                <w:rFonts w:ascii="Times New Roman" w:hAnsi="Times New Roman" w:eastAsia="仿宋_GB2312"/>
                <w:color w:val="333333"/>
                <w:kern w:val="0"/>
                <w:sz w:val="24"/>
                <w:szCs w:val="24"/>
              </w:rPr>
              <w:t>0-5]%</w:t>
            </w:r>
            <w:r>
              <w:rPr>
                <w:rFonts w:hint="eastAsia" w:ascii="Times New Roman" w:hAnsi="Times New Roman" w:eastAsia="仿宋_GB2312"/>
                <w:color w:val="333333"/>
                <w:kern w:val="0"/>
                <w:sz w:val="24"/>
                <w:szCs w:val="24"/>
              </w:rPr>
              <w:t>；</w:t>
            </w:r>
            <w:r>
              <w:rPr>
                <w:rFonts w:hint="eastAsia" w:ascii="Times New Roman" w:hAnsi="Times New Roman" w:eastAsia="仿宋_GB2312"/>
                <w:color w:val="333333"/>
                <w:kern w:val="0"/>
                <w:sz w:val="24"/>
                <w:szCs w:val="24"/>
                <w:lang w:eastAsia="zh-CN"/>
              </w:rPr>
              <w:t>合计</w:t>
            </w:r>
            <w:r>
              <w:rPr>
                <w:rFonts w:hint="eastAsia" w:ascii="Times New Roman" w:hAnsi="Times New Roman" w:eastAsia="仿宋_GB2312"/>
                <w:color w:val="333333"/>
                <w:kern w:val="0"/>
                <w:sz w:val="24"/>
                <w:szCs w:val="24"/>
              </w:rPr>
              <w:t>[</w:t>
            </w:r>
            <w:r>
              <w:rPr>
                <w:rFonts w:ascii="Times New Roman" w:hAnsi="Times New Roman" w:eastAsia="仿宋_GB2312"/>
                <w:color w:val="333333"/>
                <w:kern w:val="0"/>
                <w:sz w:val="24"/>
                <w:szCs w:val="24"/>
              </w:rPr>
              <w:t>0-5]%</w:t>
            </w:r>
            <w:r>
              <w:rPr>
                <w:rFonts w:hint="eastAsia" w:ascii="Times New Roman" w:hAnsi="Times New Roman" w:eastAsia="仿宋_GB2312"/>
                <w:color w:val="333333"/>
                <w:kern w:val="0"/>
                <w:sz w:val="24"/>
                <w:szCs w:val="24"/>
              </w:rPr>
              <w:t>。</w:t>
            </w:r>
          </w:p>
          <w:p>
            <w:pPr>
              <w:pStyle w:val="12"/>
              <w:numPr>
                <w:ilvl w:val="0"/>
                <w:numId w:val="1"/>
              </w:numPr>
              <w:spacing w:before="156" w:beforeLines="50" w:after="156" w:afterLines="50"/>
              <w:ind w:firstLineChars="0"/>
              <w:rPr>
                <w:rFonts w:hint="eastAsia" w:ascii="Times New Roman" w:hAnsi="Times New Roman" w:eastAsia="仿宋_GB2312"/>
                <w:b/>
                <w:color w:val="333333"/>
                <w:kern w:val="0"/>
                <w:sz w:val="24"/>
                <w:szCs w:val="24"/>
                <w:u w:val="single"/>
              </w:rPr>
            </w:pPr>
            <w:r>
              <w:rPr>
                <w:rFonts w:hint="eastAsia" w:ascii="Times New Roman" w:hAnsi="Times New Roman" w:eastAsia="仿宋_GB2312"/>
                <w:color w:val="333333"/>
                <w:kern w:val="0"/>
                <w:sz w:val="24"/>
                <w:szCs w:val="24"/>
              </w:rPr>
              <w:t>中国</w:t>
            </w:r>
            <w:r>
              <w:rPr>
                <w:rFonts w:hint="eastAsia" w:ascii="Times New Roman" w:hAnsi="Times New Roman" w:eastAsia="仿宋_GB2312"/>
                <w:color w:val="333333"/>
                <w:kern w:val="0"/>
                <w:sz w:val="24"/>
                <w:szCs w:val="24"/>
                <w:lang w:eastAsia="zh-CN"/>
              </w:rPr>
              <w:t>境内</w:t>
            </w:r>
            <w:r>
              <w:rPr>
                <w:rFonts w:hint="eastAsia" w:ascii="Times New Roman" w:hAnsi="Times New Roman" w:eastAsia="仿宋_GB2312"/>
                <w:color w:val="333333"/>
                <w:kern w:val="0"/>
                <w:sz w:val="24"/>
                <w:szCs w:val="24"/>
              </w:rPr>
              <w:t>商用车生产和供应市场：江铃汽</w:t>
            </w:r>
            <w:r>
              <w:rPr>
                <w:rFonts w:hint="eastAsia" w:ascii="Times New Roman" w:hAnsi="Times New Roman" w:eastAsia="仿宋_GB2312"/>
                <w:color w:val="000000" w:themeColor="text1"/>
                <w:kern w:val="0"/>
                <w:sz w:val="24"/>
                <w:szCs w:val="24"/>
                <w14:textFill>
                  <w14:solidFill>
                    <w14:schemeClr w14:val="tx1"/>
                  </w14:solidFill>
                </w14:textFill>
              </w:rPr>
              <w:t>车[</w:t>
            </w:r>
            <w:r>
              <w:rPr>
                <w:rFonts w:ascii="Times New Roman" w:hAnsi="Times New Roman" w:eastAsia="仿宋_GB2312"/>
                <w:color w:val="000000" w:themeColor="text1"/>
                <w:kern w:val="0"/>
                <w:sz w:val="24"/>
                <w:szCs w:val="24"/>
                <w14:textFill>
                  <w14:solidFill>
                    <w14:schemeClr w14:val="tx1"/>
                  </w14:solidFill>
                </w14:textFill>
              </w:rPr>
              <w:t>5-10]%</w:t>
            </w:r>
            <w:r>
              <w:rPr>
                <w:rFonts w:hint="eastAsia" w:ascii="Times New Roman" w:hAnsi="Times New Roman" w:eastAsia="仿宋_GB2312"/>
                <w:color w:val="000000" w:themeColor="text1"/>
                <w:kern w:val="0"/>
                <w:sz w:val="24"/>
                <w:szCs w:val="24"/>
                <w14:textFill>
                  <w14:solidFill>
                    <w14:schemeClr w14:val="tx1"/>
                  </w14:solidFill>
                </w14:textFill>
              </w:rPr>
              <w:t>；</w:t>
            </w:r>
            <w:r>
              <w:rPr>
                <w:rFonts w:hint="eastAsia" w:ascii="Times New Roman" w:hAnsi="Times New Roman" w:eastAsia="仿宋_GB2312"/>
                <w:color w:val="333333"/>
                <w:kern w:val="0"/>
                <w:sz w:val="24"/>
                <w:szCs w:val="24"/>
              </w:rPr>
              <w:t>福特中国[</w:t>
            </w:r>
            <w:r>
              <w:rPr>
                <w:rFonts w:ascii="Times New Roman" w:hAnsi="Times New Roman" w:eastAsia="仿宋_GB2312"/>
                <w:color w:val="333333"/>
                <w:kern w:val="0"/>
                <w:sz w:val="24"/>
                <w:szCs w:val="24"/>
              </w:rPr>
              <w:t>0-5]%</w:t>
            </w:r>
            <w:r>
              <w:rPr>
                <w:rFonts w:hint="eastAsia" w:ascii="Times New Roman" w:hAnsi="Times New Roman" w:eastAsia="仿宋_GB2312"/>
                <w:color w:val="333333"/>
                <w:kern w:val="0"/>
                <w:sz w:val="24"/>
                <w:szCs w:val="24"/>
              </w:rPr>
              <w:t>；</w:t>
            </w:r>
            <w:r>
              <w:rPr>
                <w:rFonts w:hint="eastAsia" w:ascii="Times New Roman" w:hAnsi="Times New Roman" w:eastAsia="仿宋_GB2312"/>
                <w:color w:val="333333"/>
                <w:kern w:val="0"/>
                <w:sz w:val="24"/>
                <w:szCs w:val="24"/>
                <w:lang w:eastAsia="zh-CN"/>
              </w:rPr>
              <w:t>合计</w:t>
            </w:r>
            <w:r>
              <w:rPr>
                <w:rFonts w:hint="eastAsia" w:ascii="Times New Roman" w:hAnsi="Times New Roman" w:eastAsia="仿宋_GB2312"/>
                <w:color w:val="333333"/>
                <w:kern w:val="0"/>
                <w:sz w:val="24"/>
                <w:szCs w:val="24"/>
              </w:rPr>
              <w:t>[</w:t>
            </w:r>
            <w:r>
              <w:rPr>
                <w:rFonts w:hint="eastAsia" w:ascii="Times New Roman" w:hAnsi="Times New Roman" w:eastAsia="仿宋_GB2312"/>
                <w:color w:val="333333"/>
                <w:kern w:val="0"/>
                <w:sz w:val="24"/>
                <w:szCs w:val="24"/>
                <w:lang w:val="en-US" w:eastAsia="zh-CN"/>
              </w:rPr>
              <w:t>5</w:t>
            </w:r>
            <w:r>
              <w:rPr>
                <w:rFonts w:ascii="Times New Roman" w:hAnsi="Times New Roman" w:eastAsia="仿宋_GB2312"/>
                <w:color w:val="333333"/>
                <w:kern w:val="0"/>
                <w:sz w:val="24"/>
                <w:szCs w:val="24"/>
              </w:rPr>
              <w:t>-</w:t>
            </w:r>
            <w:r>
              <w:rPr>
                <w:rFonts w:hint="eastAsia" w:ascii="Times New Roman" w:hAnsi="Times New Roman" w:eastAsia="仿宋_GB2312"/>
                <w:color w:val="333333"/>
                <w:kern w:val="0"/>
                <w:sz w:val="24"/>
                <w:szCs w:val="24"/>
                <w:lang w:val="en-US" w:eastAsia="zh-CN"/>
              </w:rPr>
              <w:t>10</w:t>
            </w:r>
            <w:r>
              <w:rPr>
                <w:rFonts w:ascii="Times New Roman" w:hAnsi="Times New Roman" w:eastAsia="仿宋_GB2312"/>
                <w:color w:val="333333"/>
                <w:kern w:val="0"/>
                <w:sz w:val="24"/>
                <w:szCs w:val="24"/>
              </w:rPr>
              <w:t>]%</w:t>
            </w:r>
            <w:r>
              <w:rPr>
                <w:rFonts w:hint="eastAsia" w:ascii="Times New Roman" w:hAnsi="Times New Roman" w:eastAsia="仿宋_GB2312"/>
                <w:color w:val="333333"/>
                <w:kern w:val="0"/>
                <w:sz w:val="24"/>
                <w:szCs w:val="24"/>
              </w:rPr>
              <w:t>。</w:t>
            </w:r>
            <w:bookmarkStart w:id="0" w:name="_GoBack"/>
            <w:bookmarkEnd w:id="0"/>
          </w:p>
        </w:tc>
      </w:tr>
    </w:tbl>
    <w:p>
      <w:pPr>
        <w:snapToGrid w:val="0"/>
        <w:spacing w:line="240" w:lineRule="exact"/>
        <w:jc w:val="left"/>
        <w:rPr>
          <w:rFonts w:ascii="Times New Roman" w:hAnsi="Times New Roman" w:eastAsia="仿宋_GB2312"/>
          <w:sz w:val="24"/>
          <w:szCs w:val="24"/>
        </w:rPr>
      </w:pPr>
    </w:p>
    <w:p>
      <w:pPr>
        <w:snapToGrid w:val="0"/>
        <w:spacing w:line="500" w:lineRule="exact"/>
        <w:jc w:val="left"/>
        <w:rPr>
          <w:rFonts w:ascii="Times New Roman" w:hAnsi="Times New Roman" w:eastAsia="仿宋_GB2312"/>
          <w:sz w:val="24"/>
          <w:szCs w:val="24"/>
        </w:rPr>
      </w:pPr>
      <w:r>
        <w:rPr>
          <w:rFonts w:ascii="Times New Roman" w:hAnsi="Times New Roman" w:eastAsia="仿宋_GB2312"/>
          <w:sz w:val="24"/>
          <w:szCs w:val="24"/>
        </w:rPr>
        <w:t>注解：</w:t>
      </w:r>
    </w:p>
    <w:p>
      <w:pPr>
        <w:snapToGrid w:val="0"/>
        <w:spacing w:line="500" w:lineRule="exact"/>
        <w:ind w:firstLine="480" w:firstLineChars="200"/>
        <w:jc w:val="left"/>
        <w:rPr>
          <w:rFonts w:ascii="Times New Roman" w:hAnsi="Times New Roman" w:eastAsia="仿宋_GB2312"/>
          <w:sz w:val="24"/>
          <w:szCs w:val="24"/>
        </w:rPr>
      </w:pPr>
      <w:r>
        <w:rPr>
          <w:rFonts w:ascii="Times New Roman" w:hAnsi="Times New Roman" w:eastAsia="仿宋_GB2312"/>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500" w:lineRule="exact"/>
        <w:ind w:firstLine="480" w:firstLineChars="200"/>
        <w:rPr>
          <w:rFonts w:ascii="Times New Roman" w:hAnsi="Times New Roman" w:eastAsia="仿宋_GB2312"/>
          <w:sz w:val="28"/>
          <w:szCs w:val="28"/>
        </w:rPr>
      </w:pPr>
      <w:r>
        <w:rPr>
          <w:rFonts w:ascii="Times New Roman" w:hAnsi="Times New Roman" w:eastAsia="仿宋_GB2312"/>
          <w:sz w:val="24"/>
          <w:szCs w:val="24"/>
        </w:rPr>
        <w:t>2、申报方申请简易案件的理由是基于第4项、第5项时，无须在备注中说明相关市场和市场份额。</w:t>
      </w:r>
      <w:r>
        <w:rPr>
          <w:rFonts w:ascii="Times New Roman" w:hAnsi="Times New Roman" w:eastAsia="仿宋_GB2312"/>
          <w:sz w:val="24"/>
          <w:szCs w:val="24"/>
        </w:rPr>
        <w:br w:type="textWrapping"/>
      </w:r>
      <w:r>
        <w:rPr>
          <w:rFonts w:ascii="Times New Roman" w:hAnsi="Times New Roman" w:eastAsia="仿宋_GB2312"/>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73938750"/>
      <w:docPartObj>
        <w:docPartGallery w:val="autotext"/>
      </w:docPartObj>
    </w:sdtPr>
    <w:sdtEndPr>
      <w:rPr>
        <w:rFonts w:ascii="Times New Roman" w:hAnsi="Times New Roman"/>
      </w:rPr>
    </w:sdtEndPr>
    <w:sdtContent>
      <w:p>
        <w:pPr>
          <w:pStyle w:val="5"/>
          <w:jc w:val="center"/>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sdtContent>
  </w:sdt>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B002FBC"/>
    <w:multiLevelType w:val="multilevel"/>
    <w:tmpl w:val="6B002FB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11483"/>
    <w:rsid w:val="00014FC1"/>
    <w:rsid w:val="00037065"/>
    <w:rsid w:val="00037116"/>
    <w:rsid w:val="00055339"/>
    <w:rsid w:val="000603B0"/>
    <w:rsid w:val="0006636C"/>
    <w:rsid w:val="00067199"/>
    <w:rsid w:val="000707A2"/>
    <w:rsid w:val="00073E9C"/>
    <w:rsid w:val="00082C06"/>
    <w:rsid w:val="00083EBD"/>
    <w:rsid w:val="00084E2D"/>
    <w:rsid w:val="000879A7"/>
    <w:rsid w:val="00091700"/>
    <w:rsid w:val="0009214D"/>
    <w:rsid w:val="0009414B"/>
    <w:rsid w:val="00096C68"/>
    <w:rsid w:val="00096C95"/>
    <w:rsid w:val="00097D26"/>
    <w:rsid w:val="000B0A90"/>
    <w:rsid w:val="000C0BD7"/>
    <w:rsid w:val="000C1B7C"/>
    <w:rsid w:val="000D7EBA"/>
    <w:rsid w:val="000E1DFE"/>
    <w:rsid w:val="000E41DD"/>
    <w:rsid w:val="000E7A38"/>
    <w:rsid w:val="001119D0"/>
    <w:rsid w:val="0011223F"/>
    <w:rsid w:val="001156ED"/>
    <w:rsid w:val="001164CD"/>
    <w:rsid w:val="001273DC"/>
    <w:rsid w:val="00134786"/>
    <w:rsid w:val="001430C8"/>
    <w:rsid w:val="00154B65"/>
    <w:rsid w:val="00155592"/>
    <w:rsid w:val="00155717"/>
    <w:rsid w:val="0016782B"/>
    <w:rsid w:val="001721E9"/>
    <w:rsid w:val="00176997"/>
    <w:rsid w:val="001837A3"/>
    <w:rsid w:val="00191A60"/>
    <w:rsid w:val="001A1C2B"/>
    <w:rsid w:val="001D7A5A"/>
    <w:rsid w:val="001E554B"/>
    <w:rsid w:val="002047CB"/>
    <w:rsid w:val="00210BC3"/>
    <w:rsid w:val="0021619C"/>
    <w:rsid w:val="00221A8D"/>
    <w:rsid w:val="00225248"/>
    <w:rsid w:val="00227844"/>
    <w:rsid w:val="002278C7"/>
    <w:rsid w:val="00231D28"/>
    <w:rsid w:val="00235F0F"/>
    <w:rsid w:val="00247FF8"/>
    <w:rsid w:val="002556AE"/>
    <w:rsid w:val="002708DA"/>
    <w:rsid w:val="00275A14"/>
    <w:rsid w:val="002A1585"/>
    <w:rsid w:val="002B581F"/>
    <w:rsid w:val="002C7E8B"/>
    <w:rsid w:val="002D7FA6"/>
    <w:rsid w:val="002F3D10"/>
    <w:rsid w:val="002F5F95"/>
    <w:rsid w:val="002F72A4"/>
    <w:rsid w:val="00306C8A"/>
    <w:rsid w:val="00322FB7"/>
    <w:rsid w:val="00356375"/>
    <w:rsid w:val="003643AC"/>
    <w:rsid w:val="00371B80"/>
    <w:rsid w:val="00387C7B"/>
    <w:rsid w:val="0039444E"/>
    <w:rsid w:val="003A29D0"/>
    <w:rsid w:val="003A61DC"/>
    <w:rsid w:val="003B23BB"/>
    <w:rsid w:val="003C0AEB"/>
    <w:rsid w:val="003D2B29"/>
    <w:rsid w:val="003E5DBC"/>
    <w:rsid w:val="003F04C7"/>
    <w:rsid w:val="003F0C5E"/>
    <w:rsid w:val="003F7EAE"/>
    <w:rsid w:val="004061E7"/>
    <w:rsid w:val="004136EB"/>
    <w:rsid w:val="004137CA"/>
    <w:rsid w:val="00415A67"/>
    <w:rsid w:val="004217BF"/>
    <w:rsid w:val="004343E6"/>
    <w:rsid w:val="0044374A"/>
    <w:rsid w:val="004521DD"/>
    <w:rsid w:val="00453DB6"/>
    <w:rsid w:val="00486C25"/>
    <w:rsid w:val="00491924"/>
    <w:rsid w:val="00494D43"/>
    <w:rsid w:val="004A45D9"/>
    <w:rsid w:val="004A5C17"/>
    <w:rsid w:val="004C3F91"/>
    <w:rsid w:val="004D050A"/>
    <w:rsid w:val="004E2E18"/>
    <w:rsid w:val="004E53BB"/>
    <w:rsid w:val="004F7688"/>
    <w:rsid w:val="00503F87"/>
    <w:rsid w:val="005212F4"/>
    <w:rsid w:val="00521C5C"/>
    <w:rsid w:val="005227A5"/>
    <w:rsid w:val="00527025"/>
    <w:rsid w:val="00547054"/>
    <w:rsid w:val="005659D8"/>
    <w:rsid w:val="005767AA"/>
    <w:rsid w:val="005831F4"/>
    <w:rsid w:val="00584A5A"/>
    <w:rsid w:val="0059310C"/>
    <w:rsid w:val="005943D0"/>
    <w:rsid w:val="005A29AF"/>
    <w:rsid w:val="005B3AC8"/>
    <w:rsid w:val="005D454D"/>
    <w:rsid w:val="005E25E2"/>
    <w:rsid w:val="005F72C8"/>
    <w:rsid w:val="00607776"/>
    <w:rsid w:val="00612590"/>
    <w:rsid w:val="00616274"/>
    <w:rsid w:val="00623031"/>
    <w:rsid w:val="00635B25"/>
    <w:rsid w:val="006467D8"/>
    <w:rsid w:val="00646EC3"/>
    <w:rsid w:val="00673BCC"/>
    <w:rsid w:val="006A531B"/>
    <w:rsid w:val="006C246E"/>
    <w:rsid w:val="006C2973"/>
    <w:rsid w:val="006C3A9E"/>
    <w:rsid w:val="006D0D0E"/>
    <w:rsid w:val="006D678C"/>
    <w:rsid w:val="006D6C9A"/>
    <w:rsid w:val="006D6D97"/>
    <w:rsid w:val="006F1F28"/>
    <w:rsid w:val="006F219A"/>
    <w:rsid w:val="006F4FC3"/>
    <w:rsid w:val="006F5094"/>
    <w:rsid w:val="006F7693"/>
    <w:rsid w:val="0070182C"/>
    <w:rsid w:val="00710140"/>
    <w:rsid w:val="00756FE2"/>
    <w:rsid w:val="0078013A"/>
    <w:rsid w:val="00782199"/>
    <w:rsid w:val="007916B1"/>
    <w:rsid w:val="00792B9B"/>
    <w:rsid w:val="00794BC3"/>
    <w:rsid w:val="007A7644"/>
    <w:rsid w:val="007B2D9B"/>
    <w:rsid w:val="007C3D56"/>
    <w:rsid w:val="007C5431"/>
    <w:rsid w:val="007F2275"/>
    <w:rsid w:val="0081725F"/>
    <w:rsid w:val="0082056A"/>
    <w:rsid w:val="00831DFB"/>
    <w:rsid w:val="00842A25"/>
    <w:rsid w:val="00863B9B"/>
    <w:rsid w:val="008664EF"/>
    <w:rsid w:val="0086698D"/>
    <w:rsid w:val="008845B4"/>
    <w:rsid w:val="00893A7F"/>
    <w:rsid w:val="00893FA1"/>
    <w:rsid w:val="00897A6F"/>
    <w:rsid w:val="008A04B8"/>
    <w:rsid w:val="008A54F1"/>
    <w:rsid w:val="008B7D2E"/>
    <w:rsid w:val="008C7F17"/>
    <w:rsid w:val="008E4137"/>
    <w:rsid w:val="008E498A"/>
    <w:rsid w:val="008F1743"/>
    <w:rsid w:val="00904270"/>
    <w:rsid w:val="00915F0F"/>
    <w:rsid w:val="009373A6"/>
    <w:rsid w:val="009458CE"/>
    <w:rsid w:val="00946296"/>
    <w:rsid w:val="009532DF"/>
    <w:rsid w:val="0096017B"/>
    <w:rsid w:val="0096305B"/>
    <w:rsid w:val="00965990"/>
    <w:rsid w:val="00991705"/>
    <w:rsid w:val="00997019"/>
    <w:rsid w:val="009A4835"/>
    <w:rsid w:val="009A5029"/>
    <w:rsid w:val="009B2BAE"/>
    <w:rsid w:val="009C1A53"/>
    <w:rsid w:val="009C217A"/>
    <w:rsid w:val="009D38D5"/>
    <w:rsid w:val="009E156A"/>
    <w:rsid w:val="009E2F01"/>
    <w:rsid w:val="009E3FAE"/>
    <w:rsid w:val="009E5671"/>
    <w:rsid w:val="009E6EF6"/>
    <w:rsid w:val="00A05F36"/>
    <w:rsid w:val="00A06D87"/>
    <w:rsid w:val="00A101F6"/>
    <w:rsid w:val="00A357E2"/>
    <w:rsid w:val="00A40305"/>
    <w:rsid w:val="00A47BF5"/>
    <w:rsid w:val="00A53F26"/>
    <w:rsid w:val="00A63674"/>
    <w:rsid w:val="00A64B02"/>
    <w:rsid w:val="00A740A0"/>
    <w:rsid w:val="00A82002"/>
    <w:rsid w:val="00A848DE"/>
    <w:rsid w:val="00A87B0D"/>
    <w:rsid w:val="00AA00C2"/>
    <w:rsid w:val="00AA0CC5"/>
    <w:rsid w:val="00AA2BEF"/>
    <w:rsid w:val="00AC43AC"/>
    <w:rsid w:val="00AC5371"/>
    <w:rsid w:val="00AD2362"/>
    <w:rsid w:val="00AF32F5"/>
    <w:rsid w:val="00B05768"/>
    <w:rsid w:val="00B16AFE"/>
    <w:rsid w:val="00B248FC"/>
    <w:rsid w:val="00B3353C"/>
    <w:rsid w:val="00B34B9F"/>
    <w:rsid w:val="00B65DD5"/>
    <w:rsid w:val="00B70E71"/>
    <w:rsid w:val="00B77C58"/>
    <w:rsid w:val="00B81805"/>
    <w:rsid w:val="00B91486"/>
    <w:rsid w:val="00BA232F"/>
    <w:rsid w:val="00BB55EC"/>
    <w:rsid w:val="00BB7423"/>
    <w:rsid w:val="00BC0276"/>
    <w:rsid w:val="00BC30F5"/>
    <w:rsid w:val="00BC3F89"/>
    <w:rsid w:val="00BD0995"/>
    <w:rsid w:val="00BD0D99"/>
    <w:rsid w:val="00BD10B6"/>
    <w:rsid w:val="00BD712F"/>
    <w:rsid w:val="00BF696F"/>
    <w:rsid w:val="00C06588"/>
    <w:rsid w:val="00C07076"/>
    <w:rsid w:val="00C07385"/>
    <w:rsid w:val="00C11D66"/>
    <w:rsid w:val="00C2390B"/>
    <w:rsid w:val="00C27CDA"/>
    <w:rsid w:val="00C32415"/>
    <w:rsid w:val="00C35EDD"/>
    <w:rsid w:val="00C50A55"/>
    <w:rsid w:val="00C57A78"/>
    <w:rsid w:val="00C61AC8"/>
    <w:rsid w:val="00C622D2"/>
    <w:rsid w:val="00C625D6"/>
    <w:rsid w:val="00C65F98"/>
    <w:rsid w:val="00C80E94"/>
    <w:rsid w:val="00C83A68"/>
    <w:rsid w:val="00C84515"/>
    <w:rsid w:val="00C863D1"/>
    <w:rsid w:val="00C93EE3"/>
    <w:rsid w:val="00CB00DF"/>
    <w:rsid w:val="00CB287C"/>
    <w:rsid w:val="00CC6B5F"/>
    <w:rsid w:val="00CD53C5"/>
    <w:rsid w:val="00CD5AD2"/>
    <w:rsid w:val="00CD6C9E"/>
    <w:rsid w:val="00CD7B78"/>
    <w:rsid w:val="00CF0DB9"/>
    <w:rsid w:val="00D00DF2"/>
    <w:rsid w:val="00D02B09"/>
    <w:rsid w:val="00D4291D"/>
    <w:rsid w:val="00D5388E"/>
    <w:rsid w:val="00D61668"/>
    <w:rsid w:val="00D635D6"/>
    <w:rsid w:val="00D645A2"/>
    <w:rsid w:val="00D64A2A"/>
    <w:rsid w:val="00D73C72"/>
    <w:rsid w:val="00D9341F"/>
    <w:rsid w:val="00DA4265"/>
    <w:rsid w:val="00DA609F"/>
    <w:rsid w:val="00DE0A77"/>
    <w:rsid w:val="00DF0A95"/>
    <w:rsid w:val="00E0592B"/>
    <w:rsid w:val="00E11B10"/>
    <w:rsid w:val="00E15B1A"/>
    <w:rsid w:val="00E23275"/>
    <w:rsid w:val="00E27EC9"/>
    <w:rsid w:val="00E31738"/>
    <w:rsid w:val="00E40266"/>
    <w:rsid w:val="00E52D51"/>
    <w:rsid w:val="00E55634"/>
    <w:rsid w:val="00E56E02"/>
    <w:rsid w:val="00E72902"/>
    <w:rsid w:val="00E832A2"/>
    <w:rsid w:val="00E86786"/>
    <w:rsid w:val="00EA045B"/>
    <w:rsid w:val="00EA66FB"/>
    <w:rsid w:val="00EB61AD"/>
    <w:rsid w:val="00EC7441"/>
    <w:rsid w:val="00ED2F80"/>
    <w:rsid w:val="00ED5563"/>
    <w:rsid w:val="00ED60DF"/>
    <w:rsid w:val="00EE39F3"/>
    <w:rsid w:val="00EE7453"/>
    <w:rsid w:val="00EE7A40"/>
    <w:rsid w:val="00EF42DD"/>
    <w:rsid w:val="00F10E7C"/>
    <w:rsid w:val="00F1624E"/>
    <w:rsid w:val="00F17359"/>
    <w:rsid w:val="00F32F8A"/>
    <w:rsid w:val="00F331B0"/>
    <w:rsid w:val="00F37467"/>
    <w:rsid w:val="00F40985"/>
    <w:rsid w:val="00F564AF"/>
    <w:rsid w:val="00F65830"/>
    <w:rsid w:val="00F70290"/>
    <w:rsid w:val="00F73BCF"/>
    <w:rsid w:val="00F75467"/>
    <w:rsid w:val="00F7794A"/>
    <w:rsid w:val="00F810AA"/>
    <w:rsid w:val="00F91A2E"/>
    <w:rsid w:val="00F92424"/>
    <w:rsid w:val="00F94E15"/>
    <w:rsid w:val="00F97BEA"/>
    <w:rsid w:val="00FB43EC"/>
    <w:rsid w:val="00FB6B40"/>
    <w:rsid w:val="00FC5666"/>
    <w:rsid w:val="00FD696A"/>
    <w:rsid w:val="6E6569CF"/>
    <w:rsid w:val="7C3417A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9">
    <w:name w:val="Normal Table"/>
    <w:semiHidden/>
    <w:unhideWhenUsed/>
    <w:uiPriority w:val="99"/>
    <w:tblPr>
      <w:tblLayout w:type="fixed"/>
      <w:tblCellMar>
        <w:top w:w="0" w:type="dxa"/>
        <w:left w:w="108" w:type="dxa"/>
        <w:bottom w:w="0" w:type="dxa"/>
        <w:right w:w="108" w:type="dxa"/>
      </w:tblCellMar>
    </w:tblPr>
  </w:style>
  <w:style w:type="paragraph" w:styleId="2">
    <w:name w:val="annotation subject"/>
    <w:basedOn w:val="3"/>
    <w:next w:val="3"/>
    <w:link w:val="15"/>
    <w:semiHidden/>
    <w:unhideWhenUsed/>
    <w:uiPriority w:val="99"/>
    <w:rPr>
      <w:b/>
      <w:bCs/>
    </w:rPr>
  </w:style>
  <w:style w:type="paragraph" w:styleId="3">
    <w:name w:val="annotation text"/>
    <w:basedOn w:val="1"/>
    <w:link w:val="14"/>
    <w:semiHidden/>
    <w:unhideWhenUsed/>
    <w:qFormat/>
    <w:uiPriority w:val="99"/>
    <w:pPr>
      <w:jc w:val="left"/>
    </w:pPr>
  </w:style>
  <w:style w:type="paragraph" w:styleId="4">
    <w:name w:val="Balloon Text"/>
    <w:basedOn w:val="1"/>
    <w:link w:val="13"/>
    <w:semiHidden/>
    <w:unhideWhenUsed/>
    <w:uiPriority w:val="99"/>
    <w:rPr>
      <w:sz w:val="18"/>
      <w:szCs w:val="18"/>
    </w:rPr>
  </w:style>
  <w:style w:type="paragraph" w:styleId="5">
    <w:name w:val="footer"/>
    <w:basedOn w:val="1"/>
    <w:link w:val="11"/>
    <w:unhideWhenUsed/>
    <w:uiPriority w:val="99"/>
    <w:pPr>
      <w:tabs>
        <w:tab w:val="center" w:pos="4153"/>
        <w:tab w:val="right" w:pos="8306"/>
      </w:tabs>
      <w:snapToGrid w:val="0"/>
      <w:jc w:val="left"/>
    </w:pPr>
    <w:rPr>
      <w:sz w:val="18"/>
      <w:szCs w:val="18"/>
    </w:rPr>
  </w:style>
  <w:style w:type="paragraph" w:styleId="6">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character" w:styleId="8">
    <w:name w:val="annotation reference"/>
    <w:basedOn w:val="7"/>
    <w:semiHidden/>
    <w:unhideWhenUsed/>
    <w:qFormat/>
    <w:uiPriority w:val="99"/>
    <w:rPr>
      <w:sz w:val="21"/>
      <w:szCs w:val="21"/>
    </w:rPr>
  </w:style>
  <w:style w:type="character" w:customStyle="1" w:styleId="10">
    <w:name w:val="页眉 字符"/>
    <w:basedOn w:val="7"/>
    <w:link w:val="6"/>
    <w:uiPriority w:val="99"/>
    <w:rPr>
      <w:rFonts w:ascii="Calibri" w:hAnsi="Calibri" w:eastAsia="宋体" w:cs="Times New Roman"/>
      <w:sz w:val="18"/>
      <w:szCs w:val="18"/>
    </w:rPr>
  </w:style>
  <w:style w:type="character" w:customStyle="1" w:styleId="11">
    <w:name w:val="页脚 字符"/>
    <w:basedOn w:val="7"/>
    <w:link w:val="5"/>
    <w:uiPriority w:val="99"/>
    <w:rPr>
      <w:rFonts w:ascii="Calibri" w:hAnsi="Calibri" w:eastAsia="宋体" w:cs="Times New Roman"/>
      <w:sz w:val="18"/>
      <w:szCs w:val="18"/>
    </w:rPr>
  </w:style>
  <w:style w:type="paragraph" w:styleId="12">
    <w:name w:val="List Paragraph"/>
    <w:basedOn w:val="1"/>
    <w:qFormat/>
    <w:uiPriority w:val="34"/>
    <w:pPr>
      <w:ind w:firstLine="420" w:firstLineChars="200"/>
    </w:pPr>
  </w:style>
  <w:style w:type="character" w:customStyle="1" w:styleId="13">
    <w:name w:val="批注框文本 字符"/>
    <w:basedOn w:val="7"/>
    <w:link w:val="4"/>
    <w:semiHidden/>
    <w:uiPriority w:val="99"/>
    <w:rPr>
      <w:rFonts w:ascii="Calibri" w:hAnsi="Calibri" w:eastAsia="宋体" w:cs="Times New Roman"/>
      <w:sz w:val="18"/>
      <w:szCs w:val="18"/>
    </w:rPr>
  </w:style>
  <w:style w:type="character" w:customStyle="1" w:styleId="14">
    <w:name w:val="批注文字 字符"/>
    <w:basedOn w:val="7"/>
    <w:link w:val="3"/>
    <w:semiHidden/>
    <w:qFormat/>
    <w:uiPriority w:val="99"/>
    <w:rPr>
      <w:rFonts w:ascii="Calibri" w:hAnsi="Calibri" w:eastAsia="宋体" w:cs="Times New Roman"/>
    </w:rPr>
  </w:style>
  <w:style w:type="character" w:customStyle="1" w:styleId="15">
    <w:name w:val="批注主题 字符"/>
    <w:basedOn w:val="14"/>
    <w:link w:val="2"/>
    <w:semiHidden/>
    <w:qFormat/>
    <w:uiPriority w:val="99"/>
    <w:rPr>
      <w:rFonts w:ascii="Calibri" w:hAnsi="Calibri" w:eastAsia="宋体" w:cs="Times New Roman"/>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A74F7D9-A2EE-470F-86ED-DBE8EDFB430C}">
  <ds:schemaRefs/>
</ds:datastoreItem>
</file>

<file path=docProps/app.xml><?xml version="1.0" encoding="utf-8"?>
<Properties xmlns="http://schemas.openxmlformats.org/officeDocument/2006/extended-properties" xmlns:vt="http://schemas.openxmlformats.org/officeDocument/2006/docPropsVTypes">
  <Template>Normal</Template>
  <Pages>2</Pages>
  <Words>198</Words>
  <Characters>1133</Characters>
  <Lines>9</Lines>
  <Paragraphs>2</Paragraphs>
  <TotalTime>2</TotalTime>
  <ScaleCrop>false</ScaleCrop>
  <LinksUpToDate>false</LinksUpToDate>
  <CharactersWithSpaces>1329</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2021-11-05T09:05:00Z</dcterms:created>
  <dc:creator>King &amp; Wood Mallesons</dc:creator>
  <cp:lastModifiedBy>武兴伟</cp:lastModifiedBy>
  <cp:lastPrinted>2019-01-29T01:56:00Z</cp:lastPrinted>
  <dcterms:modified xsi:type="dcterms:W3CDTF">2021-11-24T03:01:52Z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