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经营者集中简易案件公示表</w:t>
      </w:r>
    </w:p>
    <w:tbl>
      <w:tblPr>
        <w:tblStyle w:val="9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57"/>
        <w:gridCol w:w="58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jc w:val="left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亿万豪剑桥公司收购A</w:t>
            </w:r>
            <w:r>
              <w:rPr>
                <w:rFonts w:ascii="Times" w:hAnsi="Times"/>
                <w:sz w:val="22"/>
                <w:szCs w:val="22"/>
              </w:rPr>
              <w:t>REAP JMF 1 LP</w:t>
            </w:r>
            <w:r>
              <w:rPr>
                <w:rFonts w:hint="eastAsia" w:ascii="Times" w:hAnsi="Times"/>
                <w:sz w:val="22"/>
                <w:szCs w:val="22"/>
              </w:rPr>
              <w:t>股权案</w:t>
            </w:r>
            <w:r>
              <w:rPr>
                <w:rFonts w:hint="eastAsia"/>
                <w:sz w:val="22"/>
                <w:szCs w:val="22"/>
              </w:rPr>
              <w:t>（“</w:t>
            </w:r>
            <w:r>
              <w:rPr>
                <w:rFonts w:hint="eastAsia"/>
                <w:b/>
                <w:bCs/>
                <w:sz w:val="22"/>
                <w:szCs w:val="22"/>
              </w:rPr>
              <w:t>本交易</w:t>
            </w:r>
            <w:r>
              <w:rPr>
                <w:rFonts w:hint="eastAsia"/>
                <w:sz w:val="22"/>
                <w:szCs w:val="22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940" w:type="dxa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交易概况（限200字内）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  <w:lang w:val="en-US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亿万豪剑桥公司（“</w:t>
            </w:r>
            <w:r>
              <w:rPr>
                <w:rFonts w:hint="eastAsia" w:ascii="Times" w:hAnsi="Times"/>
                <w:b/>
                <w:bCs/>
                <w:sz w:val="22"/>
                <w:szCs w:val="22"/>
              </w:rPr>
              <w:t>亿万豪剑桥</w:t>
            </w:r>
            <w:r>
              <w:rPr>
                <w:rFonts w:hint="eastAsia" w:ascii="Times" w:hAnsi="Times"/>
                <w:sz w:val="22"/>
                <w:szCs w:val="22"/>
              </w:rPr>
              <w:t>”）拟认购AREAP</w:t>
            </w:r>
            <w:r>
              <w:rPr>
                <w:rFonts w:ascii="Times" w:hAnsi="Times"/>
                <w:sz w:val="22"/>
                <w:szCs w:val="22"/>
              </w:rPr>
              <w:t xml:space="preserve"> JMF 1 LP</w:t>
            </w:r>
            <w:r>
              <w:rPr>
                <w:rFonts w:hint="eastAsia" w:ascii="Times" w:hAnsi="Times"/>
                <w:sz w:val="22"/>
                <w:szCs w:val="22"/>
              </w:rPr>
              <w:t>（“</w:t>
            </w:r>
            <w:r>
              <w:rPr>
                <w:rFonts w:hint="eastAsia" w:ascii="Times" w:hAnsi="Times"/>
                <w:b/>
                <w:bCs/>
                <w:sz w:val="22"/>
                <w:szCs w:val="22"/>
              </w:rPr>
              <w:t>基金</w:t>
            </w:r>
            <w:r>
              <w:rPr>
                <w:rFonts w:hint="eastAsia" w:ascii="Times" w:hAnsi="Times"/>
                <w:sz w:val="22"/>
                <w:szCs w:val="22"/>
              </w:rPr>
              <w:t>”）5</w:t>
            </w:r>
            <w:r>
              <w:rPr>
                <w:rFonts w:ascii="Times" w:hAnsi="Times"/>
                <w:sz w:val="22"/>
                <w:szCs w:val="22"/>
              </w:rPr>
              <w:t>0%</w:t>
            </w:r>
            <w:r>
              <w:rPr>
                <w:rFonts w:hint="eastAsia" w:ascii="Times" w:hAnsi="Times"/>
                <w:sz w:val="22"/>
                <w:szCs w:val="22"/>
              </w:rPr>
              <w:t>权益。交易前，该</w:t>
            </w:r>
            <w:r>
              <w:rPr>
                <w:rFonts w:hint="eastAsia" w:ascii="Times" w:hAnsi="Times"/>
                <w:sz w:val="22"/>
                <w:szCs w:val="22"/>
                <w:lang w:val="en-US"/>
              </w:rPr>
              <w:t>基金由</w:t>
            </w:r>
            <w:r>
              <w:rPr>
                <w:rFonts w:hint="eastAsia" w:ascii="Times" w:hAnsi="Times"/>
                <w:sz w:val="22"/>
                <w:szCs w:val="22"/>
              </w:rPr>
              <w:t>安联房地产亚太私人有限公司（“</w:t>
            </w:r>
            <w:r>
              <w:rPr>
                <w:rFonts w:hint="eastAsia" w:ascii="Times" w:hAnsi="Times"/>
                <w:b/>
                <w:bCs/>
                <w:sz w:val="22"/>
                <w:szCs w:val="22"/>
              </w:rPr>
              <w:t>安联房地产</w:t>
            </w:r>
            <w:r>
              <w:rPr>
                <w:rFonts w:hint="eastAsia" w:ascii="Times" w:hAnsi="Times"/>
                <w:sz w:val="22"/>
                <w:szCs w:val="22"/>
              </w:rPr>
              <w:t>”，连同其最终控制人安联欧洲股份公司及其子公司统称为“</w:t>
            </w:r>
            <w:r>
              <w:rPr>
                <w:rFonts w:hint="eastAsia" w:ascii="Times" w:hAnsi="Times"/>
                <w:b/>
                <w:bCs/>
                <w:sz w:val="22"/>
                <w:szCs w:val="22"/>
              </w:rPr>
              <w:t>安联</w:t>
            </w:r>
            <w:r>
              <w:rPr>
                <w:rFonts w:hint="eastAsia" w:ascii="Times" w:hAnsi="Times"/>
                <w:sz w:val="22"/>
                <w:szCs w:val="22"/>
              </w:rPr>
              <w:t>”）</w:t>
            </w:r>
            <w:bookmarkStart w:id="0" w:name="_GoBack"/>
            <w:bookmarkEnd w:id="0"/>
            <w:r>
              <w:rPr>
                <w:rFonts w:hint="eastAsia" w:ascii="Times" w:hAnsi="Times"/>
                <w:sz w:val="22"/>
                <w:szCs w:val="22"/>
                <w:lang w:val="en-US"/>
              </w:rPr>
              <w:t>单独控制。</w:t>
            </w:r>
          </w:p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本交易完成后，基金将由亿万豪剑桥和安联共同控制。基金的业务为在日本特定地区投资、管理用于租赁的住宅资产。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jc w:val="center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参与集中的经营者简介</w:t>
            </w:r>
          </w:p>
        </w:tc>
        <w:tc>
          <w:tcPr>
            <w:tcW w:w="1457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1、安联房地产</w:t>
            </w:r>
          </w:p>
        </w:tc>
        <w:tc>
          <w:tcPr>
            <w:tcW w:w="5812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安联房地产注册地位于新加坡，由安联欧洲股份公司间接全资持有。安联是一家全球性金融服务商，主要在保险和资产管理市场开展业务，向全球70多个国家的大约1亿私人及公司客户提供基金及保险产品。安联成立于1890年，总部位于德国慕尼黑。</w:t>
            </w:r>
          </w:p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有关安联的更多信息，请参见</w:t>
            </w:r>
            <w:r>
              <w:fldChar w:fldCharType="begin"/>
            </w:r>
            <w:r>
              <w:instrText xml:space="preserve"> HYPERLINK "https://www.allianz.com/en/" </w:instrText>
            </w:r>
            <w:r>
              <w:fldChar w:fldCharType="separate"/>
            </w:r>
            <w:r>
              <w:rPr>
                <w:rStyle w:val="12"/>
                <w:rFonts w:asciiTheme="majorBidi" w:hAnsiTheme="majorBidi" w:cstheme="majorBidi"/>
                <w:kern w:val="2"/>
                <w:sz w:val="22"/>
                <w:szCs w:val="22"/>
              </w:rPr>
              <w:t>https://www.allianz.com/en/</w:t>
            </w:r>
            <w:r>
              <w:rPr>
                <w:rStyle w:val="12"/>
                <w:rFonts w:asciiTheme="majorBidi" w:hAnsiTheme="majorBidi" w:cstheme="majorBidi"/>
                <w:kern w:val="2"/>
                <w:sz w:val="22"/>
                <w:szCs w:val="22"/>
              </w:rPr>
              <w:fldChar w:fldCharType="end"/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2、亿万豪剑桥</w:t>
            </w:r>
          </w:p>
        </w:tc>
        <w:tc>
          <w:tcPr>
            <w:tcW w:w="5812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="Times" w:hAnsi="Times"/>
                <w:sz w:val="22"/>
                <w:szCs w:val="22"/>
              </w:rPr>
            </w:pPr>
            <w:r>
              <w:rPr>
                <w:rFonts w:hint="eastAsia" w:ascii="Times" w:hAnsi="Times"/>
                <w:sz w:val="22"/>
                <w:szCs w:val="22"/>
              </w:rPr>
              <w:t>亿万豪剑桥注册地位于加拿大蒙特利尔。其在世界各地的城市开发和投资高品质房地产、房地产项目和房地产公司。公司通过子公司和合伙企业，对超过1100栋建筑拥有权益。这些建筑主要涉及住宅、办公楼、零售、工业和物流领域。</w:t>
            </w:r>
          </w:p>
          <w:p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 w:ascii="Times" w:hAnsi="Times"/>
                <w:sz w:val="22"/>
                <w:szCs w:val="22"/>
              </w:rPr>
              <w:t>有关亿万豪剑桥的更多信息，请参见</w:t>
            </w:r>
            <w:r>
              <w:fldChar w:fldCharType="begin"/>
            </w:r>
            <w:r>
              <w:instrText xml:space="preserve"> HYPERLINK "https://www.ivanhoecambridge.com/en/" </w:instrText>
            </w:r>
            <w:r>
              <w:fldChar w:fldCharType="separate"/>
            </w:r>
            <w:r>
              <w:rPr>
                <w:rStyle w:val="12"/>
                <w:sz w:val="22"/>
                <w:szCs w:val="22"/>
              </w:rPr>
              <w:t>https://www.ivanhoecambridge.com/en/</w:t>
            </w:r>
            <w:r>
              <w:rPr>
                <w:rStyle w:val="12"/>
                <w:sz w:val="22"/>
                <w:szCs w:val="22"/>
              </w:rPr>
              <w:fldChar w:fldCharType="end"/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cs="Times New Roman"/>
                <w:sz w:val="22"/>
                <w:szCs w:val="22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hint="eastAsia" w:cs="Times New Roman"/>
                <w:sz w:val="22"/>
                <w:szCs w:val="22"/>
                <w:lang w:val="en-GB" w:eastAsia="zh-CN"/>
              </w:rPr>
              <w:t xml:space="preserve"> 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t></w:t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pStyle w:val="3"/>
              <w:spacing w:after="0"/>
              <w:rPr>
                <w:rFonts w:cs="Times New Roman"/>
                <w:sz w:val="22"/>
                <w:szCs w:val="22"/>
                <w:lang w:val="en-US" w:eastAsia="zh-CN"/>
              </w:rPr>
            </w:pPr>
            <w:r>
              <w:rPr>
                <w:rFonts w:ascii="Wingdings" w:hAnsi="Wingdings"/>
                <w:sz w:val="22"/>
                <w:szCs w:val="22"/>
                <w:lang w:eastAsia="zh-CN"/>
              </w:rPr>
              <w:sym w:font="Wingdings" w:char="F06F"/>
            </w:r>
            <w:r>
              <w:rPr>
                <w:rFonts w:cs="Times New Roman"/>
                <w:sz w:val="22"/>
                <w:szCs w:val="22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0" w:type="dxa"/>
            <w:shd w:val="clear" w:color="auto" w:fill="D9D9D9"/>
          </w:tcPr>
          <w:p>
            <w:pPr>
              <w:pStyle w:val="3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sz w:val="22"/>
                <w:szCs w:val="22"/>
                <w:lang w:val="en-GB"/>
              </w:rPr>
              <w:t>备注</w:t>
            </w:r>
          </w:p>
        </w:tc>
        <w:tc>
          <w:tcPr>
            <w:tcW w:w="7269" w:type="dxa"/>
            <w:gridSpan w:val="2"/>
            <w:shd w:val="clear" w:color="auto" w:fill="auto"/>
          </w:tcPr>
          <w:p>
            <w:pPr>
              <w:spacing w:after="0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无。</w:t>
            </w:r>
          </w:p>
        </w:tc>
      </w:tr>
    </w:tbl>
    <w:p>
      <w:pPr>
        <w:rPr>
          <w:sz w:val="22"/>
          <w:szCs w:val="22"/>
          <w:lang w:val="zh-CN"/>
        </w:rPr>
      </w:pPr>
    </w:p>
    <w:sectPr>
      <w:footerReference r:id="rId5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acds>
    <wne:acd wne:argValue="AgBHAGUAbgBlAHIAYQBsACAAMwAgAEwAMQA=" wne:acdName="acd0" wne:fciIndexBasedOn="0065"/>
    <wne:acd wne:argValue="AgBHAGUAbgBlAHIAYQBsACAAMwAgAEwAMgA=" wne:acdName="acd1" wne:fciIndexBasedOn="0065"/>
    <wne:acd wne:argValue="AgBHAGUAbgBlAHIAYQBsACAAMwAgAEwAMwA=" wne:acdName="acd2" wne:fciIndexBasedOn="0065"/>
    <wne:acd wne:argValue="AgBHAGUAbgBlAHIAYQBsACAAMwAgAEwANAA=" wne:acdName="acd3" wne:fciIndexBasedOn="0065"/>
    <wne:acd wne:argValue="AgBHAGUAbgBlAHIAYQBsACAAMwAgAEwANQA=" wne:acdName="acd4" wne:fciIndexBasedOn="0065"/>
    <wne:acd wne:argValue="AgBHAGUAbgBlAHIAYQBsACAAMwAgAEwANgA=" wne:acdName="acd5" wne:fciIndexBasedOn="0065"/>
    <wne:acd wne:argValue="AgBHAGUAbgBlAHIAYQBsACAAMwAgAEwANwA=" wne:acdName="acd6" wne:fciIndexBasedOn="0065"/>
    <wne:acd wne:argValue="AgBHAGUAbgBlAHIAYQBsACAAMwAgAEwAOAA=" wne:acdName="acd7" wne:fciIndexBasedOn="0065"/>
    <wne:acd wne:argValue="AgBHAGUAbgBlAHIAYQBsACAAMwAgAEwAOQA=" wne:acdName="acd8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imes">
    <w:altName w:val="Nimbus Roman No9 L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98130815"/>
      <w:docPartObj>
        <w:docPartGallery w:val="AutoText"/>
      </w:docPartObj>
    </w:sdtPr>
    <w:sdtEndPr>
      <w:rPr>
        <w:sz w:val="22"/>
      </w:rPr>
    </w:sdtEndPr>
    <w:sdtContent>
      <w:p>
        <w:pPr>
          <w:pStyle w:val="5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 PAGE   \* MERGEFORMAT </w:instrText>
        </w:r>
        <w:r>
          <w:rPr>
            <w:sz w:val="22"/>
          </w:rPr>
          <w:fldChar w:fldCharType="separate"/>
        </w:r>
        <w:r>
          <w:rPr>
            <w:sz w:val="22"/>
          </w:rPr>
          <w:t>1</w:t>
        </w:r>
        <w:r>
          <w:rPr>
            <w:sz w:val="22"/>
          </w:rPr>
          <w:fldChar w:fldCharType="end"/>
        </w:r>
      </w:p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A3498"/>
    <w:multiLevelType w:val="multilevel"/>
    <w:tmpl w:val="07FA3498"/>
    <w:lvl w:ilvl="0" w:tentative="0">
      <w:start w:val="1"/>
      <w:numFmt w:val="decimal"/>
      <w:pStyle w:val="29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lowerLetter"/>
      <w:pStyle w:val="28"/>
      <w:lvlText w:val="(%2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pStyle w:val="27"/>
      <w:lvlText w:val=""/>
      <w:lvlJc w:val="left"/>
      <w:pPr>
        <w:tabs>
          <w:tab w:val="left" w:pos="1440"/>
        </w:tabs>
        <w:ind w:left="1440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upperLetter"/>
      <w:pStyle w:val="26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2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none"/>
      <w:lvlRestart w:val="0"/>
      <w:pStyle w:val="24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none"/>
      <w:lvlRestart w:val="0"/>
      <w:pStyle w:val="23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22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none"/>
      <w:lvlRestart w:val="0"/>
      <w:pStyle w:val="21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>
    <w:nsid w:val="20AE77A7"/>
    <w:multiLevelType w:val="multilevel"/>
    <w:tmpl w:val="20AE77A7"/>
    <w:lvl w:ilvl="0" w:tentative="0">
      <w:start w:val="1"/>
      <w:numFmt w:val="decimal"/>
      <w:pStyle w:val="42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40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lowerLetter"/>
      <w:pStyle w:val="39"/>
      <w:lvlText w:val="(%3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lowerRoman"/>
      <w:pStyle w:val="38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upperLetter"/>
      <w:pStyle w:val="37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decimal"/>
      <w:pStyle w:val="3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none"/>
      <w:lvlRestart w:val="0"/>
      <w:pStyle w:val="35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4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none"/>
      <w:lvlRestart w:val="0"/>
      <w:pStyle w:val="33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true"/>
  <w:bordersDoNotSurroundFooter w:val="true"/>
  <w:hideSpellingErrors/>
  <w:hideGrammaticalErrors/>
  <w:doNotTrackMoves/>
  <w:doNotTrackFormatting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0B"/>
    <w:rsid w:val="00001A6D"/>
    <w:rsid w:val="000453D2"/>
    <w:rsid w:val="0005110A"/>
    <w:rsid w:val="00075F30"/>
    <w:rsid w:val="00081927"/>
    <w:rsid w:val="0008652E"/>
    <w:rsid w:val="000A27B2"/>
    <w:rsid w:val="000F17E7"/>
    <w:rsid w:val="00157B7D"/>
    <w:rsid w:val="001620F1"/>
    <w:rsid w:val="0017603B"/>
    <w:rsid w:val="001937A5"/>
    <w:rsid w:val="001A1129"/>
    <w:rsid w:val="001A591E"/>
    <w:rsid w:val="001E7029"/>
    <w:rsid w:val="001E7764"/>
    <w:rsid w:val="001F5218"/>
    <w:rsid w:val="002202B5"/>
    <w:rsid w:val="00221EED"/>
    <w:rsid w:val="0022234D"/>
    <w:rsid w:val="00232538"/>
    <w:rsid w:val="00235614"/>
    <w:rsid w:val="0024351F"/>
    <w:rsid w:val="002525EC"/>
    <w:rsid w:val="002752CF"/>
    <w:rsid w:val="00287C83"/>
    <w:rsid w:val="002A0E91"/>
    <w:rsid w:val="002A6D8D"/>
    <w:rsid w:val="002F5AC5"/>
    <w:rsid w:val="00333793"/>
    <w:rsid w:val="00346D4D"/>
    <w:rsid w:val="00352AEF"/>
    <w:rsid w:val="003674BF"/>
    <w:rsid w:val="003A2393"/>
    <w:rsid w:val="003A28B1"/>
    <w:rsid w:val="003A7C04"/>
    <w:rsid w:val="003C54A3"/>
    <w:rsid w:val="0041446C"/>
    <w:rsid w:val="004311FE"/>
    <w:rsid w:val="0047593C"/>
    <w:rsid w:val="004871BD"/>
    <w:rsid w:val="004A0AFE"/>
    <w:rsid w:val="004D1096"/>
    <w:rsid w:val="004E4FC5"/>
    <w:rsid w:val="004E5A46"/>
    <w:rsid w:val="004F0041"/>
    <w:rsid w:val="004F26EC"/>
    <w:rsid w:val="00555FD7"/>
    <w:rsid w:val="0055693D"/>
    <w:rsid w:val="005745E3"/>
    <w:rsid w:val="00594879"/>
    <w:rsid w:val="005A0D56"/>
    <w:rsid w:val="005A7D2A"/>
    <w:rsid w:val="005E5912"/>
    <w:rsid w:val="00604589"/>
    <w:rsid w:val="00620564"/>
    <w:rsid w:val="0064168F"/>
    <w:rsid w:val="006450E1"/>
    <w:rsid w:val="006561F4"/>
    <w:rsid w:val="00676DEA"/>
    <w:rsid w:val="00683CEC"/>
    <w:rsid w:val="006912F7"/>
    <w:rsid w:val="0069535C"/>
    <w:rsid w:val="006962AC"/>
    <w:rsid w:val="006D5A9E"/>
    <w:rsid w:val="006E141B"/>
    <w:rsid w:val="006F0520"/>
    <w:rsid w:val="006F5EE8"/>
    <w:rsid w:val="00705E85"/>
    <w:rsid w:val="00721041"/>
    <w:rsid w:val="007472FC"/>
    <w:rsid w:val="007535D1"/>
    <w:rsid w:val="00764DB0"/>
    <w:rsid w:val="00772AA6"/>
    <w:rsid w:val="0079009C"/>
    <w:rsid w:val="007A0FE7"/>
    <w:rsid w:val="007A47AA"/>
    <w:rsid w:val="007B378E"/>
    <w:rsid w:val="007D6341"/>
    <w:rsid w:val="008043E6"/>
    <w:rsid w:val="008436B7"/>
    <w:rsid w:val="00852A85"/>
    <w:rsid w:val="008562CE"/>
    <w:rsid w:val="00862F7B"/>
    <w:rsid w:val="008656E0"/>
    <w:rsid w:val="00874B87"/>
    <w:rsid w:val="008907DB"/>
    <w:rsid w:val="008A357B"/>
    <w:rsid w:val="008A3B57"/>
    <w:rsid w:val="008A41B7"/>
    <w:rsid w:val="008A655B"/>
    <w:rsid w:val="008C0A30"/>
    <w:rsid w:val="008F68EC"/>
    <w:rsid w:val="009004F6"/>
    <w:rsid w:val="00932B1D"/>
    <w:rsid w:val="00944E3F"/>
    <w:rsid w:val="00955B7B"/>
    <w:rsid w:val="00966276"/>
    <w:rsid w:val="00976BEB"/>
    <w:rsid w:val="0099230E"/>
    <w:rsid w:val="009A2175"/>
    <w:rsid w:val="009D60C7"/>
    <w:rsid w:val="009E3CED"/>
    <w:rsid w:val="009F0D06"/>
    <w:rsid w:val="009F2F6B"/>
    <w:rsid w:val="00A30099"/>
    <w:rsid w:val="00A766C7"/>
    <w:rsid w:val="00AA5D49"/>
    <w:rsid w:val="00AB2557"/>
    <w:rsid w:val="00AB7F70"/>
    <w:rsid w:val="00AE2337"/>
    <w:rsid w:val="00B00E34"/>
    <w:rsid w:val="00B03892"/>
    <w:rsid w:val="00B15B57"/>
    <w:rsid w:val="00B342CF"/>
    <w:rsid w:val="00B509AC"/>
    <w:rsid w:val="00B73015"/>
    <w:rsid w:val="00B7748A"/>
    <w:rsid w:val="00B80E6D"/>
    <w:rsid w:val="00B963C0"/>
    <w:rsid w:val="00B97329"/>
    <w:rsid w:val="00BC063A"/>
    <w:rsid w:val="00BD6FAE"/>
    <w:rsid w:val="00BF6B18"/>
    <w:rsid w:val="00C00AB9"/>
    <w:rsid w:val="00C32881"/>
    <w:rsid w:val="00C855C4"/>
    <w:rsid w:val="00CD590A"/>
    <w:rsid w:val="00CD73F7"/>
    <w:rsid w:val="00CE6F12"/>
    <w:rsid w:val="00D076C6"/>
    <w:rsid w:val="00D122B3"/>
    <w:rsid w:val="00D133CB"/>
    <w:rsid w:val="00D211F6"/>
    <w:rsid w:val="00D310A2"/>
    <w:rsid w:val="00D458E2"/>
    <w:rsid w:val="00D4692F"/>
    <w:rsid w:val="00D62EC6"/>
    <w:rsid w:val="00D87E2B"/>
    <w:rsid w:val="00D91095"/>
    <w:rsid w:val="00D92E0B"/>
    <w:rsid w:val="00DC05CD"/>
    <w:rsid w:val="00DC1875"/>
    <w:rsid w:val="00DC2DF7"/>
    <w:rsid w:val="00DC680D"/>
    <w:rsid w:val="00DE21ED"/>
    <w:rsid w:val="00E35FA9"/>
    <w:rsid w:val="00E44950"/>
    <w:rsid w:val="00E81ACC"/>
    <w:rsid w:val="00E94D11"/>
    <w:rsid w:val="00EB6CDE"/>
    <w:rsid w:val="00EF2CBF"/>
    <w:rsid w:val="00F217B4"/>
    <w:rsid w:val="00F4045F"/>
    <w:rsid w:val="00F524EE"/>
    <w:rsid w:val="00F6659F"/>
    <w:rsid w:val="00F877CB"/>
    <w:rsid w:val="00FC7EB3"/>
    <w:rsid w:val="00FD21DC"/>
    <w:rsid w:val="FDDF9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40" w:lineRule="auto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3"/>
    <w:basedOn w:val="1"/>
    <w:link w:val="30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">
    <w:name w:val="Body Text"/>
    <w:basedOn w:val="1"/>
    <w:link w:val="15"/>
    <w:qFormat/>
    <w:uiPriority w:val="0"/>
    <w:rPr>
      <w:rFonts w:cs="Simplified Arabic"/>
      <w:lang w:val="zh-CN" w:eastAsia="en-GB"/>
    </w:rPr>
  </w:style>
  <w:style w:type="paragraph" w:styleId="4">
    <w:name w:val="Balloon Text"/>
    <w:basedOn w:val="1"/>
    <w:link w:val="19"/>
    <w:semiHidden/>
    <w:unhideWhenUsed/>
    <w:qFormat/>
    <w:uiPriority w:val="99"/>
    <w:pPr>
      <w:spacing w:after="0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asciiTheme="minorHAnsi" w:hAnsiTheme="minorHAnsi" w:eastAsiaTheme="minorEastAsia" w:cstheme="minorBidi"/>
      <w:sz w:val="22"/>
      <w:szCs w:val="22"/>
      <w:lang w:bidi="ar-SA"/>
    </w:rPr>
  </w:style>
  <w:style w:type="paragraph" w:styleId="7">
    <w:name w:val="Body Text 2"/>
    <w:basedOn w:val="1"/>
    <w:link w:val="20"/>
    <w:semiHidden/>
    <w:unhideWhenUsed/>
    <w:qFormat/>
    <w:uiPriority w:val="99"/>
    <w:pPr>
      <w:spacing w:after="120" w:line="480" w:lineRule="auto"/>
    </w:p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lang w:val="en-US" w:bidi="ar-SA"/>
    </w:rPr>
  </w:style>
  <w:style w:type="character" w:styleId="11">
    <w:name w:val="page number"/>
    <w:basedOn w:val="10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styleId="12">
    <w:name w:val="Hyperlink"/>
    <w:qFormat/>
    <w:uiPriority w:val="99"/>
    <w:rPr>
      <w:color w:val="0000FF"/>
      <w:u w:val="single"/>
    </w:rPr>
  </w:style>
  <w:style w:type="character" w:customStyle="1" w:styleId="13">
    <w:name w:val="页眉 字符"/>
    <w:basedOn w:val="10"/>
    <w:link w:val="6"/>
    <w:qFormat/>
    <w:uiPriority w:val="99"/>
  </w:style>
  <w:style w:type="character" w:customStyle="1" w:styleId="14">
    <w:name w:val="页脚 字符"/>
    <w:basedOn w:val="10"/>
    <w:link w:val="5"/>
    <w:qFormat/>
    <w:uiPriority w:val="99"/>
    <w:rPr>
      <w:rFonts w:ascii="Times New Roman" w:hAnsi="Times New Roman" w:cs="Times New Roman"/>
      <w:sz w:val="16"/>
    </w:rPr>
  </w:style>
  <w:style w:type="character" w:customStyle="1" w:styleId="15">
    <w:name w:val="正文文本 字符"/>
    <w:basedOn w:val="10"/>
    <w:link w:val="3"/>
    <w:qFormat/>
    <w:uiPriority w:val="0"/>
    <w:rPr>
      <w:rFonts w:ascii="Times New Roman" w:hAnsi="Times New Roman" w:eastAsia="宋体" w:cs="Simplified Arabic"/>
      <w:sz w:val="24"/>
      <w:szCs w:val="24"/>
      <w:lang w:val="zh-CN" w:eastAsia="en-GB" w:bidi="ar-AE"/>
    </w:rPr>
  </w:style>
  <w:style w:type="paragraph" w:customStyle="1" w:styleId="16">
    <w:name w:val="Footer Right"/>
    <w:basedOn w:val="5"/>
    <w:link w:val="17"/>
    <w:qFormat/>
    <w:uiPriority w:val="0"/>
    <w:pPr>
      <w:spacing w:line="440" w:lineRule="exact"/>
      <w:jc w:val="right"/>
    </w:pPr>
    <w:rPr>
      <w:szCs w:val="28"/>
    </w:rPr>
  </w:style>
  <w:style w:type="character" w:customStyle="1" w:styleId="17">
    <w:name w:val="Footer Right Char"/>
    <w:basedOn w:val="10"/>
    <w:link w:val="16"/>
    <w:qFormat/>
    <w:uiPriority w:val="0"/>
    <w:rPr>
      <w:rFonts w:ascii="Times New Roman" w:hAnsi="Times New Roman" w:cs="Times New Roman"/>
      <w:sz w:val="16"/>
      <w:szCs w:val="28"/>
    </w:rPr>
  </w:style>
  <w:style w:type="character" w:customStyle="1" w:styleId="18">
    <w:name w:val="Unresolved Mention"/>
    <w:basedOn w:val="10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19">
    <w:name w:val="批注框文本 字符"/>
    <w:basedOn w:val="10"/>
    <w:link w:val="4"/>
    <w:semiHidden/>
    <w:qFormat/>
    <w:uiPriority w:val="99"/>
    <w:rPr>
      <w:rFonts w:ascii="Segoe UI" w:hAnsi="Segoe UI" w:eastAsia="宋体" w:cs="Segoe UI"/>
      <w:sz w:val="18"/>
      <w:szCs w:val="18"/>
      <w:lang w:bidi="ar-AE"/>
    </w:rPr>
  </w:style>
  <w:style w:type="character" w:customStyle="1" w:styleId="20">
    <w:name w:val="正文文本 2 字符"/>
    <w:basedOn w:val="10"/>
    <w:link w:val="7"/>
    <w:semiHidden/>
    <w:qFormat/>
    <w:uiPriority w:val="99"/>
    <w:rPr>
      <w:rFonts w:ascii="Times New Roman" w:hAnsi="Times New Roman" w:eastAsia="宋体" w:cs="Times New Roman"/>
      <w:sz w:val="24"/>
      <w:szCs w:val="24"/>
      <w:lang w:bidi="ar-AE"/>
    </w:rPr>
  </w:style>
  <w:style w:type="paragraph" w:customStyle="1" w:styleId="21">
    <w:name w:val="General 3 L9"/>
    <w:basedOn w:val="1"/>
    <w:qFormat/>
    <w:uiPriority w:val="0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22">
    <w:name w:val="General 3 L8"/>
    <w:basedOn w:val="1"/>
    <w:qFormat/>
    <w:uiPriority w:val="0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23">
    <w:name w:val="General 3 L7"/>
    <w:basedOn w:val="1"/>
    <w:qFormat/>
    <w:uiPriority w:val="0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24">
    <w:name w:val="General 3 L6"/>
    <w:basedOn w:val="1"/>
    <w:qFormat/>
    <w:uiPriority w:val="0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25">
    <w:name w:val="General 3 L5"/>
    <w:basedOn w:val="1"/>
    <w:next w:val="1"/>
    <w:qFormat/>
    <w:uiPriority w:val="0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26">
    <w:name w:val="General 3 L4"/>
    <w:basedOn w:val="1"/>
    <w:next w:val="2"/>
    <w:qFormat/>
    <w:uiPriority w:val="0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27">
    <w:name w:val="General 3 L3"/>
    <w:basedOn w:val="1"/>
    <w:next w:val="7"/>
    <w:qFormat/>
    <w:uiPriority w:val="0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28">
    <w:name w:val="General 3 L2"/>
    <w:basedOn w:val="1"/>
    <w:next w:val="1"/>
    <w:qFormat/>
    <w:uiPriority w:val="0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29">
    <w:name w:val="General 3 L1"/>
    <w:basedOn w:val="1"/>
    <w:next w:val="1"/>
    <w:qFormat/>
    <w:uiPriority w:val="0"/>
    <w:pPr>
      <w:numPr>
        <w:ilvl w:val="0"/>
        <w:numId w:val="1"/>
      </w:numPr>
      <w:outlineLvl w:val="0"/>
    </w:pPr>
    <w:rPr>
      <w:rFonts w:cs="Simplified Arabic"/>
      <w:bCs/>
    </w:rPr>
  </w:style>
  <w:style w:type="character" w:customStyle="1" w:styleId="30">
    <w:name w:val="正文文本 3 字符"/>
    <w:basedOn w:val="10"/>
    <w:link w:val="2"/>
    <w:semiHidden/>
    <w:qFormat/>
    <w:uiPriority w:val="99"/>
    <w:rPr>
      <w:rFonts w:ascii="Times New Roman" w:hAnsi="Times New Roman" w:eastAsia="宋体" w:cs="Times New Roman"/>
      <w:sz w:val="16"/>
      <w:szCs w:val="16"/>
      <w:lang w:bidi="ar-AE"/>
    </w:rPr>
  </w:style>
  <w:style w:type="paragraph" w:customStyle="1" w:styleId="31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2">
    <w:name w:val="List Paragraph"/>
    <w:basedOn w:val="1"/>
    <w:qFormat/>
    <w:uiPriority w:val="34"/>
    <w:pPr>
      <w:spacing w:after="200" w:line="276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:szCs w:val="22"/>
      <w:lang w:eastAsia="en-US" w:bidi="ar-SA"/>
    </w:rPr>
  </w:style>
  <w:style w:type="paragraph" w:customStyle="1" w:styleId="33">
    <w:name w:val="General 1 L9"/>
    <w:basedOn w:val="1"/>
    <w:qFormat/>
    <w:uiPriority w:val="0"/>
    <w:pPr>
      <w:numPr>
        <w:ilvl w:val="8"/>
        <w:numId w:val="2"/>
      </w:numPr>
      <w:outlineLvl w:val="8"/>
    </w:pPr>
  </w:style>
  <w:style w:type="paragraph" w:customStyle="1" w:styleId="34">
    <w:name w:val="General 1 L8"/>
    <w:basedOn w:val="1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paragraph" w:customStyle="1" w:styleId="35">
    <w:name w:val="General 1 L7"/>
    <w:basedOn w:val="1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paragraph" w:customStyle="1" w:styleId="36">
    <w:name w:val="General 1 L6"/>
    <w:basedOn w:val="1"/>
    <w:next w:val="1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paragraph" w:customStyle="1" w:styleId="37">
    <w:name w:val="General 1 L5"/>
    <w:basedOn w:val="1"/>
    <w:next w:val="1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paragraph" w:customStyle="1" w:styleId="38">
    <w:name w:val="General 1 L4"/>
    <w:basedOn w:val="1"/>
    <w:next w:val="2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paragraph" w:customStyle="1" w:styleId="39">
    <w:name w:val="General 1 L3"/>
    <w:basedOn w:val="1"/>
    <w:next w:val="7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paragraph" w:customStyle="1" w:styleId="40">
    <w:name w:val="General 1 L2"/>
    <w:basedOn w:val="1"/>
    <w:next w:val="1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41">
    <w:name w:val="General 1 L1 Char"/>
    <w:basedOn w:val="10"/>
    <w:link w:val="42"/>
    <w:qFormat/>
    <w:locked/>
    <w:uiPriority w:val="0"/>
    <w:rPr>
      <w:rFonts w:ascii="Times New Roman" w:hAnsi="Times New Roman" w:eastAsia="宋体" w:cs="Simplified Arabic"/>
      <w:sz w:val="24"/>
      <w:szCs w:val="24"/>
      <w:lang w:bidi="ar-AE"/>
    </w:rPr>
  </w:style>
  <w:style w:type="paragraph" w:customStyle="1" w:styleId="42">
    <w:name w:val="General 1 L1"/>
    <w:basedOn w:val="1"/>
    <w:next w:val="1"/>
    <w:link w:val="41"/>
    <w:qFormat/>
    <w:uiPriority w:val="0"/>
    <w:pPr>
      <w:numPr>
        <w:ilvl w:val="0"/>
        <w:numId w:val="2"/>
      </w:numPr>
      <w:outlineLvl w:val="0"/>
    </w:pPr>
    <w:rPr>
      <w:rFonts w:cs="Simplified Arabic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832</Characters>
  <Lines>6</Lines>
  <Paragraphs>1</Paragraphs>
  <TotalTime>2</TotalTime>
  <ScaleCrop>false</ScaleCrop>
  <LinksUpToDate>false</LinksUpToDate>
  <CharactersWithSpaces>976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2021-11-29T16:50:00Z</dcterms:created>
  <dc:creator>greatwall</dc:creator>
  <cp:lastModifiedBy>greatwall</cp:lastModifiedBy>
  <dcterms:modified xsi:type="dcterms:W3CDTF">2021-11-29T17:29:11Z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