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CF0" w:rsidRDefault="00856CB3">
      <w:pPr>
        <w:spacing w:beforeLines="50" w:before="156" w:afterLines="50" w:after="156"/>
        <w:jc w:val="center"/>
        <w:rPr>
          <w:rFonts w:ascii="Times New Roman" w:eastAsia="楷体_GB2312" w:hAnsi="Times New Roman"/>
          <w:b/>
          <w:sz w:val="32"/>
          <w:szCs w:val="32"/>
        </w:rPr>
      </w:pPr>
      <w:r>
        <w:rPr>
          <w:rFonts w:ascii="Times New Roman" w:eastAsia="楷体_GB2312" w:hAnsi="Times New Roman"/>
          <w:b/>
          <w:sz w:val="32"/>
          <w:szCs w:val="32"/>
        </w:rPr>
        <w:t>经营者集中简易案件公示表</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008"/>
      </w:tblGrid>
      <w:tr w:rsidR="00A62CF0">
        <w:tc>
          <w:tcPr>
            <w:tcW w:w="1809" w:type="dxa"/>
            <w:shd w:val="clear" w:color="auto" w:fill="D9D9D9"/>
            <w:vAlign w:val="center"/>
          </w:tcPr>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案件名称</w:t>
            </w:r>
          </w:p>
        </w:tc>
        <w:tc>
          <w:tcPr>
            <w:tcW w:w="6804" w:type="dxa"/>
            <w:gridSpan w:val="2"/>
          </w:tcPr>
          <w:p w:rsidR="00A62CF0" w:rsidRDefault="00D71C62">
            <w:pPr>
              <w:spacing w:beforeLines="50" w:before="156" w:afterLines="50" w:after="156"/>
              <w:rPr>
                <w:rFonts w:ascii="Times New Roman" w:eastAsia="楷体_GB2312" w:hAnsi="Times New Roman"/>
                <w:color w:val="333333"/>
                <w:kern w:val="0"/>
                <w:sz w:val="24"/>
                <w:szCs w:val="24"/>
              </w:rPr>
            </w:pPr>
            <w:r w:rsidRPr="00D71C62">
              <w:rPr>
                <w:rFonts w:ascii="Times New Roman" w:eastAsia="楷体_GB2312" w:hAnsi="Times New Roman" w:hint="eastAsia"/>
                <w:color w:val="333333"/>
                <w:kern w:val="0"/>
                <w:sz w:val="24"/>
                <w:szCs w:val="24"/>
              </w:rPr>
              <w:t>中国葛洲坝集团生态环境工程有限公司通过股权收购及合同取得博天环境集团股份有限公司的控制权案</w:t>
            </w:r>
          </w:p>
        </w:tc>
      </w:tr>
      <w:tr w:rsidR="00A62CF0">
        <w:trPr>
          <w:trHeight w:val="1519"/>
        </w:trPr>
        <w:tc>
          <w:tcPr>
            <w:tcW w:w="1809" w:type="dxa"/>
            <w:shd w:val="clear" w:color="auto" w:fill="D9D9D9"/>
            <w:vAlign w:val="center"/>
          </w:tcPr>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交易概况</w:t>
            </w:r>
          </w:p>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（限</w:t>
            </w:r>
            <w:r>
              <w:rPr>
                <w:rFonts w:ascii="Times New Roman" w:eastAsia="楷体_GB2312" w:hAnsi="Times New Roman"/>
                <w:b/>
                <w:color w:val="333333"/>
                <w:kern w:val="0"/>
                <w:sz w:val="24"/>
                <w:szCs w:val="24"/>
              </w:rPr>
              <w:t>200</w:t>
            </w:r>
            <w:r>
              <w:rPr>
                <w:rFonts w:ascii="Times New Roman" w:eastAsia="楷体_GB2312" w:hAnsi="Times New Roman"/>
                <w:b/>
                <w:color w:val="333333"/>
                <w:kern w:val="0"/>
                <w:sz w:val="24"/>
                <w:szCs w:val="24"/>
              </w:rPr>
              <w:t>字内）</w:t>
            </w:r>
          </w:p>
        </w:tc>
        <w:tc>
          <w:tcPr>
            <w:tcW w:w="6804" w:type="dxa"/>
            <w:gridSpan w:val="2"/>
          </w:tcPr>
          <w:p w:rsidR="00A62CF0" w:rsidRDefault="00D71C62" w:rsidP="00E6242D">
            <w:pPr>
              <w:spacing w:beforeLines="50" w:before="156" w:afterLines="50" w:after="156"/>
              <w:rPr>
                <w:rFonts w:ascii="Times New Roman" w:eastAsia="楷体_GB2312" w:hAnsi="Times New Roman"/>
                <w:color w:val="333333"/>
                <w:kern w:val="0"/>
                <w:sz w:val="24"/>
                <w:szCs w:val="24"/>
              </w:rPr>
            </w:pPr>
            <w:r w:rsidRPr="00D71C62">
              <w:rPr>
                <w:rFonts w:ascii="Times New Roman" w:eastAsia="楷体_GB2312" w:hAnsi="Times New Roman" w:hint="eastAsia"/>
                <w:color w:val="333333"/>
                <w:kern w:val="0"/>
                <w:sz w:val="24"/>
                <w:szCs w:val="24"/>
              </w:rPr>
              <w:t>中国葛洲坝集团生态环境工程有限公司</w:t>
            </w:r>
            <w:r w:rsidR="00856CB3">
              <w:rPr>
                <w:rFonts w:ascii="Times New Roman" w:eastAsia="楷体_GB2312" w:hAnsi="Times New Roman" w:hint="eastAsia"/>
                <w:color w:val="333333"/>
                <w:kern w:val="0"/>
                <w:sz w:val="24"/>
                <w:szCs w:val="24"/>
              </w:rPr>
              <w:t>（“</w:t>
            </w:r>
            <w:r>
              <w:rPr>
                <w:rFonts w:ascii="Times New Roman" w:eastAsia="楷体_GB2312" w:hAnsi="Times New Roman" w:hint="eastAsia"/>
                <w:color w:val="333333"/>
                <w:kern w:val="0"/>
                <w:sz w:val="24"/>
                <w:szCs w:val="24"/>
              </w:rPr>
              <w:t>葛洲坝生态</w:t>
            </w:r>
            <w:r w:rsidR="00856CB3">
              <w:rPr>
                <w:rFonts w:ascii="Times New Roman" w:eastAsia="楷体_GB2312" w:hAnsi="Times New Roman" w:hint="eastAsia"/>
                <w:color w:val="333333"/>
                <w:kern w:val="0"/>
                <w:sz w:val="24"/>
                <w:szCs w:val="24"/>
              </w:rPr>
              <w:t>”）拟通过</w:t>
            </w:r>
            <w:r w:rsidR="003C3AB3">
              <w:rPr>
                <w:rFonts w:ascii="Times New Roman" w:eastAsia="楷体_GB2312" w:hAnsi="Times New Roman" w:hint="eastAsia"/>
                <w:color w:val="333333"/>
                <w:kern w:val="0"/>
                <w:sz w:val="24"/>
                <w:szCs w:val="24"/>
              </w:rPr>
              <w:t>受让既存股东的股份、认购</w:t>
            </w:r>
            <w:r w:rsidR="00856CB3">
              <w:rPr>
                <w:rFonts w:ascii="Times New Roman" w:eastAsia="楷体_GB2312" w:hAnsi="Times New Roman" w:hint="eastAsia"/>
                <w:color w:val="333333"/>
                <w:kern w:val="0"/>
                <w:sz w:val="24"/>
                <w:szCs w:val="24"/>
              </w:rPr>
              <w:t>博天环境集团股份有限公司（“博天环境”）</w:t>
            </w:r>
            <w:r w:rsidR="003C3AB3">
              <w:rPr>
                <w:rFonts w:ascii="Times New Roman" w:eastAsia="楷体_GB2312" w:hAnsi="Times New Roman" w:hint="eastAsia"/>
                <w:color w:val="333333"/>
                <w:kern w:val="0"/>
                <w:sz w:val="24"/>
                <w:szCs w:val="24"/>
              </w:rPr>
              <w:t>非公开发行股票、使原控股股东放弃部分表决权的方式取得对博天环境的控制权</w:t>
            </w:r>
            <w:r w:rsidR="00856CB3">
              <w:rPr>
                <w:rFonts w:ascii="Times New Roman" w:eastAsia="楷体_GB2312" w:hAnsi="Times New Roman" w:hint="eastAsia"/>
                <w:color w:val="333333"/>
                <w:kern w:val="0"/>
                <w:sz w:val="24"/>
                <w:szCs w:val="24"/>
              </w:rPr>
              <w:t>。交易完成后，</w:t>
            </w:r>
            <w:r>
              <w:rPr>
                <w:rFonts w:ascii="Times New Roman" w:eastAsia="楷体_GB2312" w:hAnsi="Times New Roman" w:hint="eastAsia"/>
                <w:color w:val="333333"/>
                <w:kern w:val="0"/>
                <w:sz w:val="24"/>
                <w:szCs w:val="24"/>
              </w:rPr>
              <w:t>葛洲坝生态</w:t>
            </w:r>
            <w:r w:rsidR="00472D43">
              <w:rPr>
                <w:rFonts w:ascii="Times New Roman" w:eastAsia="楷体_GB2312" w:hAnsi="Times New Roman" w:hint="eastAsia"/>
                <w:color w:val="333333"/>
                <w:kern w:val="0"/>
                <w:sz w:val="24"/>
                <w:szCs w:val="24"/>
              </w:rPr>
              <w:t>最多</w:t>
            </w:r>
            <w:r w:rsidR="00856CB3">
              <w:rPr>
                <w:rFonts w:ascii="Times New Roman" w:eastAsia="楷体_GB2312" w:hAnsi="Times New Roman" w:hint="eastAsia"/>
                <w:color w:val="333333"/>
                <w:kern w:val="0"/>
                <w:sz w:val="24"/>
                <w:szCs w:val="24"/>
              </w:rPr>
              <w:t>持有博天环境</w:t>
            </w:r>
            <w:r w:rsidR="00856CB3">
              <w:rPr>
                <w:rFonts w:ascii="Times New Roman" w:eastAsia="楷体_GB2312" w:hAnsi="Times New Roman" w:hint="eastAsia"/>
                <w:color w:val="333333"/>
                <w:kern w:val="0"/>
                <w:sz w:val="24"/>
                <w:szCs w:val="24"/>
              </w:rPr>
              <w:t xml:space="preserve"> </w:t>
            </w:r>
            <w:r w:rsidR="00472D43">
              <w:rPr>
                <w:rFonts w:ascii="Times New Roman" w:eastAsia="楷体_GB2312" w:hAnsi="Times New Roman"/>
                <w:color w:val="333333"/>
                <w:kern w:val="0"/>
                <w:sz w:val="24"/>
                <w:szCs w:val="24"/>
              </w:rPr>
              <w:t>145</w:t>
            </w:r>
            <w:r w:rsidR="00472D43">
              <w:rPr>
                <w:rFonts w:ascii="Times New Roman" w:eastAsia="楷体_GB2312" w:hAnsi="Times New Roman" w:hint="eastAsia"/>
                <w:color w:val="333333"/>
                <w:kern w:val="0"/>
                <w:sz w:val="24"/>
                <w:szCs w:val="24"/>
              </w:rPr>
              <w:t>,</w:t>
            </w:r>
            <w:r w:rsidR="00472D43">
              <w:rPr>
                <w:rFonts w:ascii="Times New Roman" w:eastAsia="楷体_GB2312" w:hAnsi="Times New Roman"/>
                <w:color w:val="333333"/>
                <w:kern w:val="0"/>
                <w:sz w:val="24"/>
                <w:szCs w:val="24"/>
              </w:rPr>
              <w:t>412</w:t>
            </w:r>
            <w:r w:rsidR="00472D43">
              <w:rPr>
                <w:rFonts w:ascii="Times New Roman" w:eastAsia="楷体_GB2312" w:hAnsi="Times New Roman" w:hint="eastAsia"/>
                <w:color w:val="333333"/>
                <w:kern w:val="0"/>
                <w:sz w:val="24"/>
                <w:szCs w:val="24"/>
              </w:rPr>
              <w:t>,</w:t>
            </w:r>
            <w:r w:rsidR="00472D43">
              <w:rPr>
                <w:rFonts w:ascii="Times New Roman" w:eastAsia="楷体_GB2312" w:hAnsi="Times New Roman"/>
                <w:color w:val="333333"/>
                <w:kern w:val="0"/>
                <w:sz w:val="24"/>
                <w:szCs w:val="24"/>
              </w:rPr>
              <w:t>918</w:t>
            </w:r>
            <w:r w:rsidR="00856CB3">
              <w:rPr>
                <w:rFonts w:ascii="Times New Roman" w:eastAsia="楷体_GB2312" w:hAnsi="Times New Roman" w:hint="eastAsia"/>
                <w:color w:val="333333"/>
                <w:kern w:val="0"/>
                <w:sz w:val="24"/>
                <w:szCs w:val="24"/>
              </w:rPr>
              <w:t xml:space="preserve"> </w:t>
            </w:r>
            <w:r w:rsidR="00856CB3">
              <w:rPr>
                <w:rFonts w:ascii="Times New Roman" w:eastAsia="楷体_GB2312" w:hAnsi="Times New Roman" w:hint="eastAsia"/>
                <w:color w:val="333333"/>
                <w:kern w:val="0"/>
                <w:sz w:val="24"/>
                <w:szCs w:val="24"/>
              </w:rPr>
              <w:t>股股份，占博天环境总股本的</w:t>
            </w:r>
            <w:r w:rsidR="003C3AB3">
              <w:rPr>
                <w:rFonts w:ascii="Times New Roman" w:eastAsia="楷体_GB2312" w:hAnsi="Times New Roman" w:hint="eastAsia"/>
                <w:color w:val="333333"/>
                <w:kern w:val="0"/>
                <w:sz w:val="24"/>
                <w:szCs w:val="24"/>
              </w:rPr>
              <w:t>2</w:t>
            </w:r>
            <w:r w:rsidR="003C3AB3">
              <w:rPr>
                <w:rFonts w:ascii="Times New Roman" w:eastAsia="楷体_GB2312" w:hAnsi="Times New Roman"/>
                <w:color w:val="333333"/>
                <w:kern w:val="0"/>
                <w:sz w:val="24"/>
                <w:szCs w:val="24"/>
              </w:rPr>
              <w:t>6.81</w:t>
            </w:r>
            <w:r w:rsidR="00856CB3">
              <w:rPr>
                <w:rFonts w:ascii="Times New Roman" w:eastAsia="楷体_GB2312" w:hAnsi="Times New Roman" w:hint="eastAsia"/>
                <w:color w:val="333333"/>
                <w:kern w:val="0"/>
                <w:sz w:val="24"/>
                <w:szCs w:val="24"/>
              </w:rPr>
              <w:t>%</w:t>
            </w:r>
            <w:r w:rsidR="00856CB3">
              <w:rPr>
                <w:rFonts w:ascii="Times New Roman" w:eastAsia="楷体_GB2312" w:hAnsi="Times New Roman" w:hint="eastAsia"/>
                <w:color w:val="333333"/>
                <w:kern w:val="0"/>
                <w:sz w:val="24"/>
                <w:szCs w:val="24"/>
              </w:rPr>
              <w:t>，成为博天环境的控股股东</w:t>
            </w:r>
            <w:r w:rsidR="007B52CD">
              <w:rPr>
                <w:rFonts w:ascii="Times New Roman" w:eastAsia="楷体_GB2312" w:hAnsi="Times New Roman" w:hint="eastAsia"/>
                <w:color w:val="333333"/>
                <w:kern w:val="0"/>
                <w:sz w:val="24"/>
                <w:szCs w:val="24"/>
              </w:rPr>
              <w:t>，拥有对博天环境的单独控制权</w:t>
            </w:r>
            <w:r w:rsidR="00856CB3">
              <w:rPr>
                <w:rFonts w:ascii="Times New Roman" w:eastAsia="楷体_GB2312" w:hAnsi="Times New Roman" w:hint="eastAsia"/>
                <w:color w:val="333333"/>
                <w:kern w:val="0"/>
                <w:sz w:val="24"/>
                <w:szCs w:val="24"/>
              </w:rPr>
              <w:t>。</w:t>
            </w:r>
          </w:p>
        </w:tc>
      </w:tr>
      <w:tr w:rsidR="00A62CF0">
        <w:trPr>
          <w:trHeight w:val="468"/>
        </w:trPr>
        <w:tc>
          <w:tcPr>
            <w:tcW w:w="1809" w:type="dxa"/>
            <w:vMerge w:val="restart"/>
            <w:shd w:val="clear" w:color="auto" w:fill="D9D9D9"/>
            <w:vAlign w:val="center"/>
          </w:tcPr>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参与集中的</w:t>
            </w:r>
          </w:p>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经营者简介</w:t>
            </w:r>
          </w:p>
        </w:tc>
        <w:tc>
          <w:tcPr>
            <w:tcW w:w="1796" w:type="dxa"/>
          </w:tcPr>
          <w:p w:rsidR="00A62CF0" w:rsidRDefault="004D287A">
            <w:pPr>
              <w:pStyle w:val="a7"/>
              <w:numPr>
                <w:ilvl w:val="0"/>
                <w:numId w:val="1"/>
              </w:numPr>
              <w:spacing w:beforeLines="50" w:before="156" w:afterLines="50" w:after="156"/>
              <w:ind w:firstLineChars="0"/>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葛洲坝生态</w:t>
            </w:r>
          </w:p>
        </w:tc>
        <w:tc>
          <w:tcPr>
            <w:tcW w:w="5008" w:type="dxa"/>
          </w:tcPr>
          <w:p w:rsidR="00A62CF0" w:rsidRDefault="004D287A" w:rsidP="00593AFD">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葛洲坝生态</w:t>
            </w:r>
            <w:r w:rsidR="007B52CD">
              <w:rPr>
                <w:rFonts w:ascii="Times New Roman" w:eastAsia="楷体_GB2312" w:hAnsi="Times New Roman" w:hint="eastAsia"/>
                <w:color w:val="333333"/>
                <w:kern w:val="0"/>
                <w:sz w:val="24"/>
                <w:szCs w:val="24"/>
              </w:rPr>
              <w:t>成立于</w:t>
            </w:r>
            <w:r>
              <w:rPr>
                <w:rFonts w:ascii="Times New Roman" w:eastAsia="楷体_GB2312" w:hAnsi="Times New Roman" w:hint="eastAsia"/>
                <w:color w:val="333333"/>
                <w:kern w:val="0"/>
                <w:sz w:val="24"/>
                <w:szCs w:val="24"/>
              </w:rPr>
              <w:t>于</w:t>
            </w:r>
            <w:r>
              <w:rPr>
                <w:rFonts w:ascii="Times New Roman" w:eastAsia="楷体_GB2312" w:hAnsi="Times New Roman"/>
                <w:color w:val="333333"/>
                <w:kern w:val="0"/>
                <w:sz w:val="24"/>
                <w:szCs w:val="24"/>
              </w:rPr>
              <w:t>2018</w:t>
            </w:r>
            <w:r>
              <w:rPr>
                <w:rFonts w:ascii="Times New Roman" w:eastAsia="楷体_GB2312" w:hAnsi="Times New Roman" w:hint="eastAsia"/>
                <w:color w:val="333333"/>
                <w:kern w:val="0"/>
                <w:sz w:val="24"/>
                <w:szCs w:val="24"/>
              </w:rPr>
              <w:t>年</w:t>
            </w:r>
            <w:r>
              <w:rPr>
                <w:rFonts w:ascii="Times New Roman" w:eastAsia="楷体_GB2312" w:hAnsi="Times New Roman" w:hint="eastAsia"/>
                <w:color w:val="333333"/>
                <w:kern w:val="0"/>
                <w:sz w:val="24"/>
                <w:szCs w:val="24"/>
              </w:rPr>
              <w:t>2</w:t>
            </w:r>
            <w:r>
              <w:rPr>
                <w:rFonts w:ascii="Times New Roman" w:eastAsia="楷体_GB2312" w:hAnsi="Times New Roman" w:hint="eastAsia"/>
                <w:color w:val="333333"/>
                <w:kern w:val="0"/>
                <w:sz w:val="24"/>
                <w:szCs w:val="24"/>
              </w:rPr>
              <w:t>月</w:t>
            </w:r>
            <w:r>
              <w:rPr>
                <w:rFonts w:ascii="Times New Roman" w:eastAsia="楷体_GB2312" w:hAnsi="Times New Roman" w:hint="eastAsia"/>
                <w:color w:val="333333"/>
                <w:kern w:val="0"/>
                <w:sz w:val="24"/>
                <w:szCs w:val="24"/>
              </w:rPr>
              <w:t>7</w:t>
            </w:r>
            <w:r>
              <w:rPr>
                <w:rFonts w:ascii="Times New Roman" w:eastAsia="楷体_GB2312" w:hAnsi="Times New Roman" w:hint="eastAsia"/>
                <w:color w:val="333333"/>
                <w:kern w:val="0"/>
                <w:sz w:val="24"/>
                <w:szCs w:val="24"/>
              </w:rPr>
              <w:t>日</w:t>
            </w:r>
            <w:r w:rsidR="00856CB3">
              <w:rPr>
                <w:rFonts w:ascii="Times New Roman" w:eastAsia="楷体_GB2312" w:hAnsi="Times New Roman" w:hint="eastAsia"/>
                <w:color w:val="333333"/>
                <w:kern w:val="0"/>
                <w:sz w:val="24"/>
                <w:szCs w:val="24"/>
              </w:rPr>
              <w:t>。</w:t>
            </w:r>
            <w:r w:rsidR="00FF69FD">
              <w:rPr>
                <w:rFonts w:ascii="Times New Roman" w:eastAsia="楷体_GB2312" w:hAnsi="Times New Roman" w:hint="eastAsia"/>
                <w:color w:val="333333"/>
                <w:kern w:val="0"/>
                <w:sz w:val="24"/>
                <w:szCs w:val="24"/>
              </w:rPr>
              <w:t>葛洲坝生态所在集团</w:t>
            </w:r>
            <w:r w:rsidRPr="004D287A">
              <w:rPr>
                <w:rFonts w:ascii="Times New Roman" w:eastAsia="楷体_GB2312" w:hAnsi="Times New Roman" w:hint="eastAsia"/>
                <w:color w:val="333333"/>
                <w:kern w:val="0"/>
                <w:sz w:val="24"/>
                <w:szCs w:val="24"/>
              </w:rPr>
              <w:t>主要业务涵盖工程建设业务（电力、交通、市政、环保、水利等基础设施建设）、工业制造业务（水泥生产、民用爆破、环保、高端装备制造等）等。</w:t>
            </w:r>
            <w:bookmarkStart w:id="0" w:name="_GoBack"/>
            <w:bookmarkEnd w:id="0"/>
          </w:p>
        </w:tc>
      </w:tr>
      <w:tr w:rsidR="00A62CF0">
        <w:trPr>
          <w:trHeight w:val="404"/>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1796" w:type="dxa"/>
          </w:tcPr>
          <w:p w:rsidR="00A62CF0" w:rsidRDefault="00856CB3">
            <w:pPr>
              <w:pStyle w:val="a7"/>
              <w:numPr>
                <w:ilvl w:val="0"/>
                <w:numId w:val="1"/>
              </w:numPr>
              <w:spacing w:beforeLines="50" w:before="156" w:afterLines="50" w:after="156"/>
              <w:ind w:firstLineChars="0"/>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博天环境</w:t>
            </w:r>
          </w:p>
        </w:tc>
        <w:tc>
          <w:tcPr>
            <w:tcW w:w="5008" w:type="dxa"/>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博天环境于</w:t>
            </w:r>
            <w:r>
              <w:rPr>
                <w:rFonts w:ascii="Times New Roman" w:eastAsia="楷体_GB2312" w:hAnsi="Times New Roman" w:hint="eastAsia"/>
                <w:color w:val="333333"/>
                <w:kern w:val="0"/>
                <w:sz w:val="24"/>
                <w:szCs w:val="24"/>
              </w:rPr>
              <w:t>1995</w:t>
            </w:r>
            <w:r>
              <w:rPr>
                <w:rFonts w:ascii="Times New Roman" w:eastAsia="楷体_GB2312" w:hAnsi="Times New Roman" w:hint="eastAsia"/>
                <w:color w:val="333333"/>
                <w:kern w:val="0"/>
                <w:sz w:val="24"/>
                <w:szCs w:val="24"/>
              </w:rPr>
              <w:t>年</w:t>
            </w:r>
            <w:r>
              <w:rPr>
                <w:rFonts w:ascii="Times New Roman" w:eastAsia="楷体_GB2312" w:hAnsi="Times New Roman" w:hint="eastAsia"/>
                <w:color w:val="333333"/>
                <w:kern w:val="0"/>
                <w:sz w:val="24"/>
                <w:szCs w:val="24"/>
              </w:rPr>
              <w:t>1</w:t>
            </w:r>
            <w:r>
              <w:rPr>
                <w:rFonts w:ascii="Times New Roman" w:eastAsia="楷体_GB2312" w:hAnsi="Times New Roman" w:hint="eastAsia"/>
                <w:color w:val="333333"/>
                <w:kern w:val="0"/>
                <w:sz w:val="24"/>
                <w:szCs w:val="24"/>
              </w:rPr>
              <w:t>月</w:t>
            </w:r>
            <w:r>
              <w:rPr>
                <w:rFonts w:ascii="Times New Roman" w:eastAsia="楷体_GB2312" w:hAnsi="Times New Roman" w:hint="eastAsia"/>
                <w:color w:val="333333"/>
                <w:kern w:val="0"/>
                <w:sz w:val="24"/>
                <w:szCs w:val="24"/>
              </w:rPr>
              <w:t>18</w:t>
            </w:r>
            <w:r>
              <w:rPr>
                <w:rFonts w:ascii="Times New Roman" w:eastAsia="楷体_GB2312" w:hAnsi="Times New Roman" w:hint="eastAsia"/>
                <w:color w:val="333333"/>
                <w:kern w:val="0"/>
                <w:sz w:val="24"/>
                <w:szCs w:val="24"/>
              </w:rPr>
              <w:t>日设立，于</w:t>
            </w:r>
            <w:r>
              <w:rPr>
                <w:rFonts w:ascii="Times New Roman" w:eastAsia="楷体_GB2312" w:hAnsi="Times New Roman" w:hint="eastAsia"/>
                <w:color w:val="333333"/>
                <w:kern w:val="0"/>
                <w:sz w:val="24"/>
                <w:szCs w:val="24"/>
              </w:rPr>
              <w:t>2017</w:t>
            </w:r>
            <w:r>
              <w:rPr>
                <w:rFonts w:ascii="Times New Roman" w:eastAsia="楷体_GB2312" w:hAnsi="Times New Roman" w:hint="eastAsia"/>
                <w:color w:val="333333"/>
                <w:kern w:val="0"/>
                <w:sz w:val="24"/>
                <w:szCs w:val="24"/>
              </w:rPr>
              <w:t>年</w:t>
            </w:r>
            <w:r>
              <w:rPr>
                <w:rFonts w:ascii="Times New Roman" w:eastAsia="楷体_GB2312" w:hAnsi="Times New Roman" w:hint="eastAsia"/>
                <w:color w:val="333333"/>
                <w:kern w:val="0"/>
                <w:sz w:val="24"/>
                <w:szCs w:val="24"/>
              </w:rPr>
              <w:t>2</w:t>
            </w:r>
            <w:r>
              <w:rPr>
                <w:rFonts w:ascii="Times New Roman" w:eastAsia="楷体_GB2312" w:hAnsi="Times New Roman" w:hint="eastAsia"/>
                <w:color w:val="333333"/>
                <w:kern w:val="0"/>
                <w:sz w:val="24"/>
                <w:szCs w:val="24"/>
              </w:rPr>
              <w:t>月在上海证券交易所挂牌上市，股票代码</w:t>
            </w:r>
            <w:r>
              <w:rPr>
                <w:rFonts w:ascii="Times New Roman" w:eastAsia="楷体_GB2312" w:hAnsi="Times New Roman" w:hint="eastAsia"/>
                <w:color w:val="333333"/>
                <w:kern w:val="0"/>
                <w:sz w:val="24"/>
                <w:szCs w:val="24"/>
              </w:rPr>
              <w:t>603603</w:t>
            </w:r>
            <w:r>
              <w:rPr>
                <w:rFonts w:ascii="Times New Roman" w:eastAsia="楷体_GB2312" w:hAnsi="Times New Roman" w:hint="eastAsia"/>
                <w:color w:val="333333"/>
                <w:kern w:val="0"/>
                <w:sz w:val="24"/>
                <w:szCs w:val="24"/>
              </w:rPr>
              <w:t>。博天环境主要业务为在城市水环境、工业与能源水系统</w:t>
            </w:r>
            <w:r w:rsidR="00EF4CAF">
              <w:rPr>
                <w:rFonts w:ascii="Times New Roman" w:eastAsia="楷体_GB2312" w:hAnsi="Times New Roman" w:hint="eastAsia"/>
                <w:color w:val="333333"/>
                <w:kern w:val="0"/>
                <w:sz w:val="24"/>
                <w:szCs w:val="24"/>
              </w:rPr>
              <w:t>、生态修复和土壤修复等领域提供咨询设计、系统集成、项目管理、核心</w:t>
            </w:r>
            <w:r>
              <w:rPr>
                <w:rFonts w:ascii="Times New Roman" w:eastAsia="楷体_GB2312" w:hAnsi="Times New Roman" w:hint="eastAsia"/>
                <w:color w:val="333333"/>
                <w:kern w:val="0"/>
                <w:sz w:val="24"/>
                <w:szCs w:val="24"/>
              </w:rPr>
              <w:t>设备制造、投资运营等一体化的解决方案，主要服务和产品包括水环境解决方案（工程总承包）、水务投资运营管理、土壤修复和水处理装备等。</w:t>
            </w:r>
          </w:p>
        </w:tc>
      </w:tr>
      <w:tr w:rsidR="00A62CF0">
        <w:trPr>
          <w:trHeight w:val="279"/>
        </w:trPr>
        <w:tc>
          <w:tcPr>
            <w:tcW w:w="1809" w:type="dxa"/>
            <w:vMerge w:val="restart"/>
            <w:shd w:val="clear" w:color="auto" w:fill="D9D9D9"/>
            <w:vAlign w:val="center"/>
          </w:tcPr>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简易案件理由（可以单选，也可以多选）</w:t>
            </w: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sym w:font="Wingdings" w:char="F0FE"/>
            </w:r>
            <w:r>
              <w:rPr>
                <w:rFonts w:ascii="Times New Roman" w:eastAsia="楷体_GB2312" w:hAnsi="Times New Roman"/>
                <w:color w:val="333333"/>
                <w:kern w:val="0"/>
                <w:sz w:val="24"/>
                <w:szCs w:val="24"/>
              </w:rPr>
              <w:t>1.</w:t>
            </w:r>
            <w:r>
              <w:rPr>
                <w:rFonts w:ascii="Times New Roman" w:eastAsia="楷体_GB2312" w:hAnsi="Times New Roman"/>
                <w:color w:val="333333"/>
                <w:kern w:val="0"/>
                <w:sz w:val="24"/>
                <w:szCs w:val="24"/>
              </w:rPr>
              <w:t>在同一相关市场，所有参与集中的经营者所占市场份额之和小于</w:t>
            </w:r>
            <w:r>
              <w:rPr>
                <w:rFonts w:ascii="Times New Roman" w:eastAsia="楷体_GB2312" w:hAnsi="Times New Roman"/>
                <w:color w:val="333333"/>
                <w:kern w:val="0"/>
                <w:sz w:val="24"/>
                <w:szCs w:val="24"/>
              </w:rPr>
              <w:t>15%</w:t>
            </w:r>
            <w:r>
              <w:rPr>
                <w:rFonts w:ascii="Times New Roman" w:eastAsia="楷体_GB2312" w:hAnsi="Times New Roman"/>
                <w:color w:val="333333"/>
                <w:kern w:val="0"/>
                <w:sz w:val="24"/>
                <w:szCs w:val="24"/>
              </w:rPr>
              <w:t>。</w:t>
            </w:r>
          </w:p>
        </w:tc>
      </w:tr>
      <w:tr w:rsidR="00A62CF0">
        <w:trPr>
          <w:trHeight w:val="330"/>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t>□2.</w:t>
            </w:r>
            <w:r>
              <w:rPr>
                <w:rFonts w:ascii="Times New Roman" w:eastAsia="楷体_GB2312" w:hAnsi="Times New Roman"/>
                <w:color w:val="333333"/>
                <w:kern w:val="0"/>
                <w:sz w:val="24"/>
                <w:szCs w:val="24"/>
              </w:rPr>
              <w:t>存在上下游关系的参与集中的经营者，在上下游市场所占的市场份额均小于</w:t>
            </w:r>
            <w:r>
              <w:rPr>
                <w:rFonts w:ascii="Times New Roman" w:eastAsia="楷体_GB2312" w:hAnsi="Times New Roman"/>
                <w:color w:val="333333"/>
                <w:kern w:val="0"/>
                <w:sz w:val="24"/>
                <w:szCs w:val="24"/>
              </w:rPr>
              <w:t>25%</w:t>
            </w:r>
            <w:r>
              <w:rPr>
                <w:rFonts w:ascii="Times New Roman" w:eastAsia="楷体_GB2312" w:hAnsi="Times New Roman"/>
                <w:color w:val="333333"/>
                <w:kern w:val="0"/>
                <w:sz w:val="24"/>
                <w:szCs w:val="24"/>
              </w:rPr>
              <w:t>。</w:t>
            </w:r>
          </w:p>
        </w:tc>
      </w:tr>
      <w:tr w:rsidR="00A62CF0">
        <w:trPr>
          <w:trHeight w:val="285"/>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t>□3.</w:t>
            </w:r>
            <w:r>
              <w:rPr>
                <w:rFonts w:ascii="Times New Roman" w:eastAsia="楷体_GB2312" w:hAnsi="Times New Roman"/>
                <w:color w:val="333333"/>
                <w:kern w:val="0"/>
                <w:sz w:val="24"/>
                <w:szCs w:val="24"/>
              </w:rPr>
              <w:t>不在同一相关市场、也不存在上下游关系的参与集中的经营者，在与交易有关的每个市场所占的份额均小于</w:t>
            </w:r>
            <w:r>
              <w:rPr>
                <w:rFonts w:ascii="Times New Roman" w:eastAsia="楷体_GB2312" w:hAnsi="Times New Roman"/>
                <w:color w:val="333333"/>
                <w:kern w:val="0"/>
                <w:sz w:val="24"/>
                <w:szCs w:val="24"/>
              </w:rPr>
              <w:t>25%</w:t>
            </w:r>
            <w:r>
              <w:rPr>
                <w:rFonts w:ascii="Times New Roman" w:eastAsia="楷体_GB2312" w:hAnsi="Times New Roman"/>
                <w:color w:val="333333"/>
                <w:kern w:val="0"/>
                <w:sz w:val="24"/>
                <w:szCs w:val="24"/>
              </w:rPr>
              <w:t>。</w:t>
            </w:r>
          </w:p>
        </w:tc>
      </w:tr>
      <w:tr w:rsidR="00A62CF0">
        <w:trPr>
          <w:trHeight w:val="870"/>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t>□4.</w:t>
            </w:r>
            <w:r>
              <w:rPr>
                <w:rFonts w:ascii="Times New Roman" w:eastAsia="楷体_GB2312" w:hAnsi="Times New Roman"/>
                <w:color w:val="333333"/>
                <w:kern w:val="0"/>
                <w:sz w:val="24"/>
                <w:szCs w:val="24"/>
              </w:rPr>
              <w:t>参与集中的经营者在中国境外设立合营企业，合营企业不在中国境内从事经济活动。</w:t>
            </w:r>
          </w:p>
        </w:tc>
      </w:tr>
      <w:tr w:rsidR="00A62CF0">
        <w:trPr>
          <w:trHeight w:val="264"/>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t>□5.</w:t>
            </w:r>
            <w:r>
              <w:rPr>
                <w:rFonts w:ascii="Times New Roman" w:eastAsia="楷体_GB2312" w:hAnsi="Times New Roman"/>
                <w:color w:val="333333"/>
                <w:kern w:val="0"/>
                <w:sz w:val="24"/>
                <w:szCs w:val="24"/>
              </w:rPr>
              <w:t>参与集中的经营者收购境外企业股权或资产的，该境外企业不在中国境内从事经济活动。</w:t>
            </w:r>
          </w:p>
        </w:tc>
      </w:tr>
      <w:tr w:rsidR="00A62CF0">
        <w:trPr>
          <w:trHeight w:val="345"/>
        </w:trPr>
        <w:tc>
          <w:tcPr>
            <w:tcW w:w="1809" w:type="dxa"/>
            <w:vMerge/>
            <w:shd w:val="clear" w:color="auto" w:fill="D9D9D9"/>
            <w:vAlign w:val="center"/>
          </w:tcPr>
          <w:p w:rsidR="00A62CF0" w:rsidRDefault="00A62CF0">
            <w:pPr>
              <w:spacing w:beforeLines="50" w:before="156" w:afterLines="50" w:after="156"/>
              <w:jc w:val="center"/>
              <w:rPr>
                <w:rFonts w:ascii="Times New Roman" w:eastAsia="楷体_GB2312" w:hAnsi="Times New Roman"/>
                <w:b/>
                <w:color w:val="333333"/>
                <w:kern w:val="0"/>
                <w:sz w:val="24"/>
                <w:szCs w:val="24"/>
              </w:rPr>
            </w:pPr>
          </w:p>
        </w:tc>
        <w:tc>
          <w:tcPr>
            <w:tcW w:w="6804" w:type="dxa"/>
            <w:gridSpan w:val="2"/>
          </w:tcPr>
          <w:p w:rsidR="00A62CF0" w:rsidRDefault="00856CB3">
            <w:pPr>
              <w:spacing w:beforeLines="50" w:before="156" w:afterLines="50" w:after="156"/>
              <w:rPr>
                <w:rFonts w:ascii="Times New Roman" w:eastAsia="楷体_GB2312" w:hAnsi="Times New Roman"/>
                <w:color w:val="333333"/>
                <w:kern w:val="0"/>
                <w:sz w:val="24"/>
                <w:szCs w:val="24"/>
              </w:rPr>
            </w:pPr>
            <w:r>
              <w:rPr>
                <w:rFonts w:ascii="Times New Roman" w:eastAsia="楷体_GB2312" w:hAnsi="Times New Roman"/>
                <w:color w:val="333333"/>
                <w:kern w:val="0"/>
                <w:sz w:val="24"/>
                <w:szCs w:val="24"/>
              </w:rPr>
              <w:t>□6.</w:t>
            </w:r>
            <w:r>
              <w:rPr>
                <w:rFonts w:ascii="Times New Roman" w:eastAsia="楷体_GB2312" w:hAnsi="Times New Roman"/>
                <w:color w:val="333333"/>
                <w:kern w:val="0"/>
                <w:sz w:val="24"/>
                <w:szCs w:val="24"/>
              </w:rPr>
              <w:t>由两个以上的经营者共同控制的合营企业，通过集中被其中一个或一个以上经营者控制。</w:t>
            </w:r>
          </w:p>
        </w:tc>
      </w:tr>
      <w:tr w:rsidR="00A62CF0">
        <w:trPr>
          <w:trHeight w:val="2114"/>
        </w:trPr>
        <w:tc>
          <w:tcPr>
            <w:tcW w:w="1809" w:type="dxa"/>
            <w:shd w:val="clear" w:color="auto" w:fill="D9D9D9"/>
            <w:vAlign w:val="center"/>
          </w:tcPr>
          <w:p w:rsidR="00A62CF0" w:rsidRDefault="00856CB3">
            <w:pPr>
              <w:spacing w:beforeLines="50" w:before="156" w:afterLines="50" w:after="156"/>
              <w:jc w:val="center"/>
              <w:rPr>
                <w:rFonts w:ascii="Times New Roman" w:eastAsia="楷体_GB2312" w:hAnsi="Times New Roman"/>
                <w:b/>
                <w:color w:val="333333"/>
                <w:kern w:val="0"/>
                <w:sz w:val="24"/>
                <w:szCs w:val="24"/>
              </w:rPr>
            </w:pPr>
            <w:r>
              <w:rPr>
                <w:rFonts w:ascii="Times New Roman" w:eastAsia="楷体_GB2312" w:hAnsi="Times New Roman"/>
                <w:b/>
                <w:color w:val="333333"/>
                <w:kern w:val="0"/>
                <w:sz w:val="24"/>
                <w:szCs w:val="24"/>
              </w:rPr>
              <w:t>备注</w:t>
            </w:r>
          </w:p>
        </w:tc>
        <w:tc>
          <w:tcPr>
            <w:tcW w:w="6804" w:type="dxa"/>
            <w:gridSpan w:val="2"/>
          </w:tcPr>
          <w:tbl>
            <w:tblPr>
              <w:tblStyle w:val="a6"/>
              <w:tblpPr w:leftFromText="180" w:rightFromText="180" w:vertAnchor="page" w:horzAnchor="margin" w:tblpY="331"/>
              <w:tblOverlap w:val="never"/>
              <w:tblW w:w="6436" w:type="dxa"/>
              <w:tblLayout w:type="fixed"/>
              <w:tblLook w:val="04A0" w:firstRow="1" w:lastRow="0" w:firstColumn="1" w:lastColumn="0" w:noHBand="0" w:noVBand="1"/>
            </w:tblPr>
            <w:tblGrid>
              <w:gridCol w:w="2403"/>
              <w:gridCol w:w="1978"/>
              <w:gridCol w:w="2055"/>
            </w:tblGrid>
            <w:tr w:rsidR="00A62CF0">
              <w:trPr>
                <w:trHeight w:val="491"/>
              </w:trPr>
              <w:tc>
                <w:tcPr>
                  <w:tcW w:w="2403"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相关商品市场</w:t>
                  </w:r>
                </w:p>
              </w:tc>
              <w:tc>
                <w:tcPr>
                  <w:tcW w:w="1978"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相关地域市场</w:t>
                  </w:r>
                </w:p>
              </w:tc>
              <w:tc>
                <w:tcPr>
                  <w:tcW w:w="2055"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合并市场份额</w:t>
                  </w:r>
                </w:p>
              </w:tc>
            </w:tr>
            <w:tr w:rsidR="00A62CF0">
              <w:trPr>
                <w:trHeight w:val="491"/>
              </w:trPr>
              <w:tc>
                <w:tcPr>
                  <w:tcW w:w="2403" w:type="dxa"/>
                  <w:vAlign w:val="center"/>
                </w:tcPr>
                <w:p w:rsidR="00A62CF0" w:rsidRDefault="00B5676F">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市政污水处理</w:t>
                  </w:r>
                  <w:r w:rsidR="00856CB3">
                    <w:rPr>
                      <w:rFonts w:ascii="Times New Roman" w:eastAsia="楷体_GB2312" w:hAnsi="Times New Roman" w:hint="eastAsia"/>
                      <w:color w:val="333333"/>
                      <w:kern w:val="0"/>
                      <w:sz w:val="24"/>
                      <w:szCs w:val="24"/>
                    </w:rPr>
                    <w:t>市场</w:t>
                  </w:r>
                </w:p>
              </w:tc>
              <w:tc>
                <w:tcPr>
                  <w:tcW w:w="1978"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中国</w:t>
                  </w:r>
                  <w:r w:rsidR="007B52CD">
                    <w:rPr>
                      <w:rFonts w:ascii="Times New Roman" w:eastAsia="楷体_GB2312" w:hAnsi="Times New Roman" w:hint="eastAsia"/>
                      <w:color w:val="333333"/>
                      <w:kern w:val="0"/>
                      <w:sz w:val="24"/>
                      <w:szCs w:val="24"/>
                    </w:rPr>
                    <w:t>境内</w:t>
                  </w:r>
                </w:p>
              </w:tc>
              <w:tc>
                <w:tcPr>
                  <w:tcW w:w="2055"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[0-5]</w:t>
                  </w:r>
                  <w:r>
                    <w:rPr>
                      <w:rFonts w:ascii="Times New Roman" w:eastAsia="楷体_GB2312" w:hAnsi="Times New Roman"/>
                      <w:color w:val="333333"/>
                      <w:kern w:val="0"/>
                      <w:sz w:val="24"/>
                      <w:szCs w:val="24"/>
                    </w:rPr>
                    <w:t>%</w:t>
                  </w:r>
                </w:p>
              </w:tc>
            </w:tr>
            <w:tr w:rsidR="00A62CF0">
              <w:trPr>
                <w:trHeight w:val="491"/>
              </w:trPr>
              <w:tc>
                <w:tcPr>
                  <w:tcW w:w="2403" w:type="dxa"/>
                  <w:vAlign w:val="center"/>
                </w:tcPr>
                <w:p w:rsidR="00A62CF0" w:rsidRDefault="00136BFC">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土壤污染治理与修复</w:t>
                  </w:r>
                  <w:r w:rsidR="00856CB3">
                    <w:rPr>
                      <w:rFonts w:ascii="Times New Roman" w:eastAsia="楷体_GB2312" w:hAnsi="Times New Roman" w:hint="eastAsia"/>
                      <w:color w:val="333333"/>
                      <w:kern w:val="0"/>
                      <w:sz w:val="24"/>
                      <w:szCs w:val="24"/>
                    </w:rPr>
                    <w:t>市场</w:t>
                  </w:r>
                </w:p>
              </w:tc>
              <w:tc>
                <w:tcPr>
                  <w:tcW w:w="1978"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中国</w:t>
                  </w:r>
                  <w:r w:rsidR="007B52CD">
                    <w:rPr>
                      <w:rFonts w:ascii="Times New Roman" w:eastAsia="楷体_GB2312" w:hAnsi="Times New Roman" w:hint="eastAsia"/>
                      <w:color w:val="333333"/>
                      <w:kern w:val="0"/>
                      <w:sz w:val="24"/>
                      <w:szCs w:val="24"/>
                    </w:rPr>
                    <w:t>境内</w:t>
                  </w:r>
                </w:p>
              </w:tc>
              <w:tc>
                <w:tcPr>
                  <w:tcW w:w="2055" w:type="dxa"/>
                  <w:vAlign w:val="center"/>
                </w:tcPr>
                <w:p w:rsidR="00A62CF0" w:rsidRDefault="00856CB3">
                  <w:pPr>
                    <w:spacing w:beforeLines="50" w:before="156" w:afterLines="50" w:after="156"/>
                    <w:jc w:val="center"/>
                    <w:rPr>
                      <w:rFonts w:ascii="Times New Roman" w:eastAsia="楷体_GB2312" w:hAnsi="Times New Roman"/>
                      <w:color w:val="333333"/>
                      <w:kern w:val="0"/>
                      <w:sz w:val="24"/>
                      <w:szCs w:val="24"/>
                    </w:rPr>
                  </w:pPr>
                  <w:r>
                    <w:rPr>
                      <w:rFonts w:ascii="Times New Roman" w:eastAsia="楷体_GB2312" w:hAnsi="Times New Roman" w:hint="eastAsia"/>
                      <w:color w:val="333333"/>
                      <w:kern w:val="0"/>
                      <w:sz w:val="24"/>
                      <w:szCs w:val="24"/>
                    </w:rPr>
                    <w:t>[0-5]</w:t>
                  </w:r>
                  <w:r>
                    <w:rPr>
                      <w:rFonts w:ascii="Times New Roman" w:eastAsia="楷体_GB2312" w:hAnsi="Times New Roman"/>
                      <w:color w:val="333333"/>
                      <w:kern w:val="0"/>
                      <w:sz w:val="24"/>
                      <w:szCs w:val="24"/>
                    </w:rPr>
                    <w:t>%</w:t>
                  </w:r>
                </w:p>
              </w:tc>
            </w:tr>
          </w:tbl>
          <w:p w:rsidR="00A62CF0" w:rsidRDefault="00A62CF0">
            <w:pPr>
              <w:spacing w:beforeLines="50" w:before="156" w:afterLines="50" w:after="156"/>
              <w:rPr>
                <w:rFonts w:ascii="Times New Roman" w:eastAsia="楷体_GB2312" w:hAnsi="Times New Roman"/>
                <w:color w:val="333333"/>
                <w:kern w:val="0"/>
                <w:sz w:val="24"/>
                <w:szCs w:val="24"/>
              </w:rPr>
            </w:pPr>
          </w:p>
        </w:tc>
      </w:tr>
    </w:tbl>
    <w:p w:rsidR="00A62CF0" w:rsidRDefault="00A62CF0">
      <w:pPr>
        <w:spacing w:beforeLines="50" w:before="156" w:afterLines="50" w:after="156"/>
        <w:rPr>
          <w:rFonts w:ascii="Times New Roman" w:eastAsia="楷体_GB2312" w:hAnsi="Times New Roman"/>
          <w:sz w:val="24"/>
          <w:szCs w:val="24"/>
        </w:rPr>
      </w:pPr>
    </w:p>
    <w:sectPr w:rsidR="00A62C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0F7A" w:rsidRDefault="003C0F7A" w:rsidP="00D71C62">
      <w:r>
        <w:separator/>
      </w:r>
    </w:p>
  </w:endnote>
  <w:endnote w:type="continuationSeparator" w:id="0">
    <w:p w:rsidR="003C0F7A" w:rsidRDefault="003C0F7A" w:rsidP="00D71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0F7A" w:rsidRDefault="003C0F7A" w:rsidP="00D71C62">
      <w:r>
        <w:separator/>
      </w:r>
    </w:p>
  </w:footnote>
  <w:footnote w:type="continuationSeparator" w:id="0">
    <w:p w:rsidR="003C0F7A" w:rsidRDefault="003C0F7A" w:rsidP="00D71C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245AC"/>
    <w:multiLevelType w:val="multilevel"/>
    <w:tmpl w:val="0D0245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fficeIni" w:val="Beijing - FenXun Partners - SIMPLIFIED CHINESE.ini"/>
  </w:docVars>
  <w:rsids>
    <w:rsidRoot w:val="00CB00DF"/>
    <w:rsid w:val="000211C5"/>
    <w:rsid w:val="00037065"/>
    <w:rsid w:val="000A544D"/>
    <w:rsid w:val="000D7EBA"/>
    <w:rsid w:val="001164CD"/>
    <w:rsid w:val="00136BFC"/>
    <w:rsid w:val="00155717"/>
    <w:rsid w:val="001837A3"/>
    <w:rsid w:val="00243D1A"/>
    <w:rsid w:val="00362C9F"/>
    <w:rsid w:val="00365A8D"/>
    <w:rsid w:val="003C0AEB"/>
    <w:rsid w:val="003C0F7A"/>
    <w:rsid w:val="003C3AB3"/>
    <w:rsid w:val="00427874"/>
    <w:rsid w:val="00437D34"/>
    <w:rsid w:val="00472D43"/>
    <w:rsid w:val="004D287A"/>
    <w:rsid w:val="004D65C0"/>
    <w:rsid w:val="004F7688"/>
    <w:rsid w:val="00517A50"/>
    <w:rsid w:val="005203B6"/>
    <w:rsid w:val="00523760"/>
    <w:rsid w:val="00593AFD"/>
    <w:rsid w:val="005E1DB1"/>
    <w:rsid w:val="00615BA4"/>
    <w:rsid w:val="006467D8"/>
    <w:rsid w:val="006A531B"/>
    <w:rsid w:val="006F7693"/>
    <w:rsid w:val="00710140"/>
    <w:rsid w:val="007A137E"/>
    <w:rsid w:val="007B52CD"/>
    <w:rsid w:val="007F2275"/>
    <w:rsid w:val="0085618B"/>
    <w:rsid w:val="00856CB3"/>
    <w:rsid w:val="008715A0"/>
    <w:rsid w:val="00915F0F"/>
    <w:rsid w:val="00946D46"/>
    <w:rsid w:val="009532DF"/>
    <w:rsid w:val="00992F05"/>
    <w:rsid w:val="00997019"/>
    <w:rsid w:val="009A5029"/>
    <w:rsid w:val="009D38D5"/>
    <w:rsid w:val="00A53F26"/>
    <w:rsid w:val="00A62CF0"/>
    <w:rsid w:val="00AA0CC5"/>
    <w:rsid w:val="00AC05E0"/>
    <w:rsid w:val="00B16AFE"/>
    <w:rsid w:val="00B5676F"/>
    <w:rsid w:val="00B65DD5"/>
    <w:rsid w:val="00BA0E9F"/>
    <w:rsid w:val="00BD0768"/>
    <w:rsid w:val="00BD10B6"/>
    <w:rsid w:val="00C07076"/>
    <w:rsid w:val="00C651C8"/>
    <w:rsid w:val="00CB00DF"/>
    <w:rsid w:val="00D71C62"/>
    <w:rsid w:val="00D73C72"/>
    <w:rsid w:val="00E0592B"/>
    <w:rsid w:val="00E31738"/>
    <w:rsid w:val="00E6242D"/>
    <w:rsid w:val="00E86786"/>
    <w:rsid w:val="00EC0155"/>
    <w:rsid w:val="00ED2F80"/>
    <w:rsid w:val="00ED4F8B"/>
    <w:rsid w:val="00EF4CAF"/>
    <w:rsid w:val="00F1624E"/>
    <w:rsid w:val="00F32F8A"/>
    <w:rsid w:val="00F810AA"/>
    <w:rsid w:val="00FB43EC"/>
    <w:rsid w:val="00FB6B40"/>
    <w:rsid w:val="00FF69FD"/>
    <w:rsid w:val="548F7A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B96440F-F9EE-4D81-9F36-26DB7528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qFormat/>
    <w:pPr>
      <w:widowControl/>
      <w:spacing w:after="180" w:line="260" w:lineRule="atLeast"/>
      <w:jc w:val="left"/>
    </w:pPr>
    <w:rPr>
      <w:rFonts w:asciiTheme="minorHAnsi" w:hAnsiTheme="minorHAnsi" w:cstheme="minorBidi"/>
      <w:kern w:val="0"/>
      <w:sz w:val="22"/>
      <w:szCs w:val="28"/>
      <w:lang w:val="en-GB"/>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table" w:styleId="a6">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pPr>
      <w:ind w:firstLineChars="200" w:firstLine="420"/>
    </w:pPr>
  </w:style>
  <w:style w:type="character" w:customStyle="1" w:styleId="Char">
    <w:name w:val="正文文本 Char"/>
    <w:basedOn w:val="a0"/>
    <w:link w:val="a3"/>
    <w:rPr>
      <w:rFonts w:eastAsia="宋体"/>
      <w:kern w:val="0"/>
      <w:sz w:val="22"/>
      <w:szCs w:val="28"/>
      <w:lang w:val="en-GB"/>
    </w:rPr>
  </w:style>
  <w:style w:type="character" w:customStyle="1" w:styleId="Char1">
    <w:name w:val="页眉 Char"/>
    <w:basedOn w:val="a0"/>
    <w:link w:val="a5"/>
    <w:uiPriority w:val="99"/>
    <w:rPr>
      <w:rFonts w:ascii="Calibri" w:eastAsia="宋体" w:hAnsi="Calibri" w:cs="Times New Roman"/>
      <w:sz w:val="18"/>
      <w:szCs w:val="18"/>
    </w:rPr>
  </w:style>
  <w:style w:type="character" w:customStyle="1" w:styleId="Char0">
    <w:name w:val="页脚 Char"/>
    <w:basedOn w:val="a0"/>
    <w:link w:val="a4"/>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DELL</cp:lastModifiedBy>
  <cp:revision>15</cp:revision>
  <dcterms:created xsi:type="dcterms:W3CDTF">2021-08-02T03:50:00Z</dcterms:created>
  <dcterms:modified xsi:type="dcterms:W3CDTF">2021-11-03T03:45:00Z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