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方正小标宋简体" w:hAnsi="方正小标宋简体" w:eastAsia="方正小标宋简体" w:cs="方正小标宋简体"/>
          <w:b/>
          <w:sz w:val="32"/>
          <w:szCs w:val="32"/>
        </w:rPr>
      </w:pPr>
      <w:r>
        <w:rPr>
          <w:rFonts w:hint="eastAsia" w:ascii="方正小标宋简体" w:hAnsi="方正小标宋简体" w:eastAsia="方正小标宋简体" w:cs="方正小标宋简体"/>
          <w:b/>
          <w:sz w:val="32"/>
          <w:szCs w:val="32"/>
        </w:rPr>
        <w:t>经营者集中简易案件公示表</w:t>
      </w:r>
    </w:p>
    <w:p>
      <w:pPr>
        <w:spacing w:line="440" w:lineRule="exact"/>
        <w:rPr>
          <w:rFonts w:ascii="Times New Roman" w:hAnsi="Times New Roman" w:eastAsia="仿宋"/>
          <w:sz w:val="24"/>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仿宋" w:cs="宋体"/>
                <w:b/>
                <w:color w:val="333333"/>
                <w:kern w:val="0"/>
                <w:sz w:val="24"/>
                <w:szCs w:val="24"/>
              </w:rPr>
            </w:pPr>
            <w:r>
              <w:rPr>
                <w:rFonts w:hint="eastAsia" w:ascii="Times New Roman" w:hAnsi="Times New Roman" w:eastAsia="仿宋" w:cs="宋体"/>
                <w:b/>
                <w:color w:val="333333"/>
                <w:kern w:val="0"/>
                <w:sz w:val="24"/>
                <w:szCs w:val="24"/>
              </w:rPr>
              <w:t>案件名称</w:t>
            </w:r>
          </w:p>
        </w:tc>
        <w:tc>
          <w:tcPr>
            <w:tcW w:w="6949" w:type="dxa"/>
            <w:gridSpan w:val="2"/>
          </w:tcPr>
          <w:p>
            <w:pPr>
              <w:spacing w:line="500" w:lineRule="exact"/>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高盛集团公司与Westman Living有限责任公司新设合营企业案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240" w:lineRule="auto"/>
              <w:jc w:val="center"/>
              <w:rPr>
                <w:rFonts w:ascii="Times New Roman" w:hAnsi="Times New Roman" w:eastAsia="仿宋" w:cs="宋体"/>
                <w:b/>
                <w:color w:val="333333"/>
                <w:kern w:val="0"/>
                <w:sz w:val="24"/>
                <w:szCs w:val="24"/>
              </w:rPr>
            </w:pPr>
            <w:r>
              <w:rPr>
                <w:rFonts w:hint="eastAsia" w:ascii="Times New Roman" w:hAnsi="Times New Roman" w:eastAsia="仿宋" w:cs="宋体"/>
                <w:b/>
                <w:color w:val="333333"/>
                <w:kern w:val="0"/>
                <w:sz w:val="24"/>
                <w:szCs w:val="24"/>
              </w:rPr>
              <w:t>交易概况</w:t>
            </w:r>
          </w:p>
          <w:p>
            <w:pPr>
              <w:spacing w:line="240" w:lineRule="auto"/>
              <w:jc w:val="center"/>
              <w:rPr>
                <w:rFonts w:ascii="Times New Roman" w:hAnsi="Times New Roman" w:eastAsia="仿宋" w:cs="宋体"/>
                <w:b/>
                <w:color w:val="333333"/>
                <w:kern w:val="0"/>
                <w:sz w:val="24"/>
                <w:szCs w:val="24"/>
              </w:rPr>
            </w:pPr>
            <w:r>
              <w:rPr>
                <w:rFonts w:hint="eastAsia" w:ascii="Times New Roman" w:hAnsi="Times New Roman" w:eastAsia="仿宋" w:cs="宋体"/>
                <w:b/>
                <w:color w:val="333333"/>
                <w:kern w:val="0"/>
                <w:sz w:val="24"/>
                <w:szCs w:val="24"/>
              </w:rPr>
              <w:t>（限200字内）</w:t>
            </w:r>
          </w:p>
        </w:tc>
        <w:tc>
          <w:tcPr>
            <w:tcW w:w="6949" w:type="dxa"/>
            <w:gridSpan w:val="2"/>
          </w:tcPr>
          <w:p>
            <w:pPr>
              <w:spacing w:line="240" w:lineRule="auto"/>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本次交易涉及设立一家将由高盛集团公司（“</w:t>
            </w:r>
            <w:r>
              <w:rPr>
                <w:rFonts w:hint="eastAsia" w:ascii="Times New Roman" w:hAnsi="Times New Roman" w:eastAsia="仿宋" w:cs="宋体"/>
                <w:b/>
                <w:color w:val="333333"/>
                <w:kern w:val="0"/>
                <w:sz w:val="24"/>
                <w:szCs w:val="24"/>
              </w:rPr>
              <w:t>高盛</w:t>
            </w:r>
            <w:r>
              <w:rPr>
                <w:rFonts w:hint="eastAsia" w:ascii="Times New Roman" w:hAnsi="Times New Roman" w:eastAsia="仿宋" w:cs="宋体"/>
                <w:color w:val="333333"/>
                <w:kern w:val="0"/>
                <w:sz w:val="24"/>
                <w:szCs w:val="24"/>
              </w:rPr>
              <w:t>”）与Westman Living有限责任公司（“</w:t>
            </w:r>
            <w:r>
              <w:rPr>
                <w:rFonts w:hint="eastAsia" w:ascii="Times New Roman" w:hAnsi="Times New Roman" w:eastAsia="仿宋" w:cs="宋体"/>
                <w:b/>
                <w:color w:val="333333"/>
                <w:kern w:val="0"/>
                <w:sz w:val="24"/>
                <w:szCs w:val="24"/>
              </w:rPr>
              <w:t>Westman Living</w:t>
            </w:r>
            <w:r>
              <w:rPr>
                <w:rFonts w:hint="eastAsia" w:ascii="Times New Roman" w:hAnsi="Times New Roman" w:eastAsia="仿宋" w:cs="宋体"/>
                <w:color w:val="333333"/>
                <w:kern w:val="0"/>
                <w:sz w:val="24"/>
                <w:szCs w:val="24"/>
              </w:rPr>
              <w:t>”）共同控制的合营企业（“</w:t>
            </w:r>
            <w:r>
              <w:rPr>
                <w:rFonts w:hint="eastAsia" w:ascii="Times New Roman" w:hAnsi="Times New Roman" w:eastAsia="仿宋" w:cs="宋体"/>
                <w:b/>
                <w:color w:val="333333"/>
                <w:kern w:val="0"/>
                <w:sz w:val="24"/>
                <w:szCs w:val="24"/>
              </w:rPr>
              <w:t>合营企业</w:t>
            </w:r>
            <w:r>
              <w:rPr>
                <w:rFonts w:hint="eastAsia" w:ascii="Times New Roman" w:hAnsi="Times New Roman" w:eastAsia="仿宋" w:cs="宋体"/>
                <w:color w:val="333333"/>
                <w:kern w:val="0"/>
                <w:sz w:val="24"/>
                <w:szCs w:val="24"/>
              </w:rPr>
              <w:t>”）。</w:t>
            </w:r>
            <w:r>
              <w:rPr>
                <w:rFonts w:ascii="Times New Roman" w:hAnsi="Times New Roman" w:eastAsia="仿宋" w:cs="宋体"/>
                <w:color w:val="333333"/>
                <w:kern w:val="0"/>
                <w:sz w:val="24"/>
                <w:szCs w:val="24"/>
              </w:rPr>
              <w:t>本次交易</w:t>
            </w:r>
            <w:r>
              <w:rPr>
                <w:rFonts w:hint="eastAsia" w:ascii="Times New Roman" w:hAnsi="Times New Roman" w:eastAsia="仿宋" w:cs="宋体"/>
                <w:color w:val="333333"/>
                <w:kern w:val="0"/>
                <w:sz w:val="24"/>
                <w:szCs w:val="24"/>
                <w:lang w:eastAsia="zh-CN"/>
              </w:rPr>
              <w:t>完成</w:t>
            </w:r>
            <w:r>
              <w:rPr>
                <w:rFonts w:ascii="Times New Roman" w:hAnsi="Times New Roman" w:eastAsia="仿宋" w:cs="宋体"/>
                <w:color w:val="333333"/>
                <w:kern w:val="0"/>
                <w:sz w:val="24"/>
                <w:szCs w:val="24"/>
              </w:rPr>
              <w:t>后</w:t>
            </w:r>
            <w:r>
              <w:rPr>
                <w:rFonts w:hint="eastAsia" w:ascii="Times New Roman" w:hAnsi="Times New Roman" w:eastAsia="仿宋" w:cs="宋体"/>
                <w:color w:val="333333"/>
                <w:kern w:val="0"/>
                <w:sz w:val="24"/>
                <w:szCs w:val="24"/>
              </w:rPr>
              <w:t>，</w:t>
            </w:r>
            <w:r>
              <w:rPr>
                <w:rFonts w:ascii="Times New Roman" w:hAnsi="Times New Roman" w:eastAsia="仿宋" w:cs="宋体"/>
                <w:color w:val="333333"/>
                <w:kern w:val="0"/>
                <w:sz w:val="24"/>
                <w:szCs w:val="24"/>
              </w:rPr>
              <w:t>高盛和</w:t>
            </w:r>
            <w:r>
              <w:rPr>
                <w:rFonts w:hint="eastAsia" w:ascii="Times New Roman" w:hAnsi="Times New Roman" w:eastAsia="仿宋" w:cs="宋体"/>
                <w:color w:val="333333"/>
                <w:kern w:val="0"/>
                <w:sz w:val="24"/>
                <w:szCs w:val="24"/>
              </w:rPr>
              <w:t>Westman Living将共同控制合营企业。合营企业设立后拟在美国从事地产投资业务。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0" w:hRule="atLeast"/>
        </w:trPr>
        <w:tc>
          <w:tcPr>
            <w:tcW w:w="1809" w:type="dxa"/>
            <w:vMerge w:val="restart"/>
            <w:shd w:val="clear" w:color="auto" w:fill="D9D9D9"/>
            <w:vAlign w:val="center"/>
          </w:tcPr>
          <w:p>
            <w:pPr>
              <w:spacing w:line="240" w:lineRule="auto"/>
              <w:jc w:val="center"/>
              <w:rPr>
                <w:rFonts w:ascii="Times New Roman" w:hAnsi="Times New Roman" w:eastAsia="仿宋" w:cs="宋体"/>
                <w:b/>
                <w:color w:val="333333"/>
                <w:kern w:val="0"/>
                <w:sz w:val="24"/>
                <w:szCs w:val="24"/>
              </w:rPr>
            </w:pPr>
            <w:r>
              <w:rPr>
                <w:rFonts w:hint="eastAsia" w:ascii="Times New Roman" w:hAnsi="Times New Roman" w:eastAsia="仿宋" w:cs="宋体"/>
                <w:b/>
                <w:color w:val="333333"/>
                <w:kern w:val="0"/>
                <w:sz w:val="24"/>
                <w:szCs w:val="24"/>
              </w:rPr>
              <w:t>参与集中的</w:t>
            </w:r>
          </w:p>
          <w:p>
            <w:pPr>
              <w:spacing w:line="240" w:lineRule="auto"/>
              <w:jc w:val="center"/>
              <w:rPr>
                <w:rFonts w:ascii="Times New Roman" w:hAnsi="Times New Roman" w:eastAsia="仿宋" w:cs="宋体"/>
                <w:b/>
                <w:color w:val="333333"/>
                <w:kern w:val="0"/>
                <w:sz w:val="24"/>
                <w:szCs w:val="24"/>
              </w:rPr>
            </w:pPr>
            <w:r>
              <w:rPr>
                <w:rFonts w:hint="eastAsia" w:ascii="Times New Roman" w:hAnsi="Times New Roman" w:eastAsia="仿宋" w:cs="宋体"/>
                <w:b/>
                <w:color w:val="333333"/>
                <w:kern w:val="0"/>
                <w:sz w:val="24"/>
                <w:szCs w:val="24"/>
              </w:rPr>
              <w:t>经营者简介</w:t>
            </w:r>
          </w:p>
        </w:tc>
        <w:tc>
          <w:tcPr>
            <w:tcW w:w="1796" w:type="dxa"/>
            <w:vAlign w:val="center"/>
          </w:tcPr>
          <w:p>
            <w:pPr>
              <w:spacing w:line="240" w:lineRule="auto"/>
              <w:jc w:val="both"/>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1</w:t>
            </w:r>
            <w:r>
              <w:rPr>
                <w:rFonts w:hint="eastAsia" w:ascii="Times New Roman" w:hAnsi="Times New Roman" w:eastAsia="仿宋" w:cs="宋体"/>
                <w:color w:val="333333"/>
                <w:kern w:val="0"/>
                <w:sz w:val="24"/>
                <w:szCs w:val="24"/>
                <w:lang w:eastAsia="zh-CN"/>
              </w:rPr>
              <w:t>.</w:t>
            </w:r>
            <w:r>
              <w:rPr>
                <w:rFonts w:hint="eastAsia" w:ascii="Times New Roman" w:hAnsi="Times New Roman" w:eastAsia="仿宋" w:cs="宋体"/>
                <w:color w:val="333333"/>
                <w:kern w:val="0"/>
                <w:sz w:val="24"/>
                <w:szCs w:val="24"/>
              </w:rPr>
              <w:t>高盛</w:t>
            </w:r>
          </w:p>
        </w:tc>
        <w:tc>
          <w:tcPr>
            <w:tcW w:w="5153" w:type="dxa"/>
            <w:vAlign w:val="center"/>
          </w:tcPr>
          <w:p>
            <w:pPr>
              <w:spacing w:line="240" w:lineRule="auto"/>
              <w:jc w:val="both"/>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高盛于</w:t>
            </w:r>
            <w:r>
              <w:rPr>
                <w:rFonts w:hint="eastAsia" w:ascii="Times New Roman" w:hAnsi="Times New Roman" w:eastAsia="仿宋" w:cs="宋体"/>
                <w:color w:val="333333"/>
                <w:kern w:val="0"/>
                <w:sz w:val="24"/>
                <w:szCs w:val="24"/>
              </w:rPr>
              <w:t>1869年在美国设立。高盛是一家全球性投资银行</w:t>
            </w:r>
            <w:bookmarkStart w:id="0" w:name="_GoBack"/>
            <w:bookmarkEnd w:id="0"/>
            <w:r>
              <w:rPr>
                <w:rFonts w:hint="eastAsia" w:ascii="Times New Roman" w:hAnsi="Times New Roman" w:eastAsia="仿宋" w:cs="宋体"/>
                <w:color w:val="333333"/>
                <w:kern w:val="0"/>
                <w:sz w:val="24"/>
                <w:szCs w:val="24"/>
              </w:rPr>
              <w:t>、证券及投资管理公司，在全球范围内为企业、金融机构、政府和高净值个人等各领域的众多客户提供一系列银行、证券和投资服务。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eastAsia="仿宋" w:cs="宋体"/>
                <w:b/>
                <w:color w:val="333333"/>
                <w:kern w:val="0"/>
                <w:sz w:val="24"/>
                <w:szCs w:val="24"/>
              </w:rPr>
            </w:pPr>
          </w:p>
        </w:tc>
        <w:tc>
          <w:tcPr>
            <w:tcW w:w="1796" w:type="dxa"/>
            <w:vAlign w:val="center"/>
          </w:tcPr>
          <w:p>
            <w:pPr>
              <w:spacing w:line="500" w:lineRule="exact"/>
              <w:jc w:val="left"/>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2</w:t>
            </w:r>
            <w:r>
              <w:rPr>
                <w:rFonts w:hint="eastAsia" w:ascii="Times New Roman" w:hAnsi="Times New Roman" w:eastAsia="仿宋" w:cs="宋体"/>
                <w:color w:val="333333"/>
                <w:kern w:val="0"/>
                <w:sz w:val="24"/>
                <w:szCs w:val="24"/>
                <w:lang w:eastAsia="zh-CN"/>
              </w:rPr>
              <w:t>.</w:t>
            </w:r>
            <w:r>
              <w:rPr>
                <w:rFonts w:ascii="Times New Roman" w:hAnsi="Times New Roman" w:eastAsia="仿宋"/>
                <w:sz w:val="24"/>
                <w:szCs w:val="24"/>
              </w:rPr>
              <w:t>Westman Living</w:t>
            </w:r>
          </w:p>
        </w:tc>
        <w:tc>
          <w:tcPr>
            <w:tcW w:w="5153" w:type="dxa"/>
            <w:vAlign w:val="center"/>
          </w:tcPr>
          <w:p>
            <w:pPr>
              <w:widowControl/>
              <w:snapToGrid w:val="0"/>
              <w:jc w:val="left"/>
              <w:rPr>
                <w:rFonts w:ascii="Times New Roman" w:hAnsi="Times New Roman" w:eastAsia="仿宋" w:cs="宋体"/>
                <w:color w:val="333333"/>
                <w:kern w:val="0"/>
                <w:sz w:val="24"/>
                <w:szCs w:val="24"/>
              </w:rPr>
            </w:pPr>
            <w:r>
              <w:rPr>
                <w:rFonts w:ascii="Times New Roman" w:hAnsi="Times New Roman" w:eastAsia="仿宋"/>
                <w:sz w:val="24"/>
                <w:szCs w:val="24"/>
              </w:rPr>
              <w:t>Westman Living</w:t>
            </w:r>
            <w:r>
              <w:rPr>
                <w:rFonts w:hint="eastAsia" w:ascii="Times New Roman" w:hAnsi="Times New Roman" w:eastAsia="仿宋" w:cs="宋体"/>
                <w:color w:val="333333"/>
                <w:kern w:val="0"/>
                <w:sz w:val="24"/>
                <w:szCs w:val="24"/>
              </w:rPr>
              <w:t>于2021年10月4日在美国设立。Westman Living是一家控股公司，其主要业务是在美国投资老年公寓物业。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Times New Roman" w:hAnsi="Times New Roman" w:eastAsia="仿宋" w:cs="宋体"/>
                <w:b/>
                <w:color w:val="333333"/>
                <w:kern w:val="0"/>
                <w:sz w:val="24"/>
                <w:szCs w:val="24"/>
              </w:rPr>
            </w:pPr>
            <w:r>
              <w:rPr>
                <w:rFonts w:hint="eastAsia" w:ascii="Times New Roman" w:hAnsi="Times New Roman" w:eastAsia="仿宋" w:cs="宋体"/>
                <w:b/>
                <w:color w:val="333333"/>
                <w:kern w:val="0"/>
                <w:sz w:val="24"/>
                <w:szCs w:val="24"/>
              </w:rPr>
              <w:t>简易案件理由（可以单选，也可以多选）</w:t>
            </w:r>
          </w:p>
        </w:tc>
        <w:tc>
          <w:tcPr>
            <w:tcW w:w="6949" w:type="dxa"/>
            <w:gridSpan w:val="2"/>
          </w:tcPr>
          <w:p>
            <w:pPr>
              <w:spacing w:line="500" w:lineRule="exact"/>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Times New Roman" w:hAnsi="Times New Roman" w:eastAsia="仿宋" w:cs="宋体"/>
                <w:b/>
                <w:color w:val="333333"/>
                <w:kern w:val="0"/>
                <w:sz w:val="24"/>
                <w:szCs w:val="24"/>
              </w:rPr>
            </w:pPr>
          </w:p>
        </w:tc>
        <w:tc>
          <w:tcPr>
            <w:tcW w:w="6949" w:type="dxa"/>
            <w:gridSpan w:val="2"/>
          </w:tcPr>
          <w:p>
            <w:pPr>
              <w:spacing w:line="500" w:lineRule="exact"/>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Times New Roman" w:hAnsi="Times New Roman" w:eastAsia="仿宋" w:cs="宋体"/>
                <w:b/>
                <w:color w:val="333333"/>
                <w:kern w:val="0"/>
                <w:sz w:val="24"/>
                <w:szCs w:val="24"/>
              </w:rPr>
            </w:pPr>
          </w:p>
        </w:tc>
        <w:tc>
          <w:tcPr>
            <w:tcW w:w="6949" w:type="dxa"/>
            <w:gridSpan w:val="2"/>
          </w:tcPr>
          <w:p>
            <w:pPr>
              <w:spacing w:line="500" w:lineRule="exact"/>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Times New Roman" w:hAnsi="Times New Roman" w:eastAsia="仿宋" w:cs="宋体"/>
                <w:b/>
                <w:color w:val="333333"/>
                <w:kern w:val="0"/>
                <w:sz w:val="24"/>
                <w:szCs w:val="24"/>
              </w:rPr>
            </w:pPr>
          </w:p>
        </w:tc>
        <w:tc>
          <w:tcPr>
            <w:tcW w:w="6949" w:type="dxa"/>
            <w:gridSpan w:val="2"/>
          </w:tcPr>
          <w:p>
            <w:pPr>
              <w:spacing w:line="500" w:lineRule="exact"/>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sym w:font="Wingdings" w:char="F0FE"/>
            </w:r>
            <w:r>
              <w:rPr>
                <w:rFonts w:hint="eastAsia" w:ascii="Times New Roman" w:hAnsi="Times New Roman"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Times New Roman" w:hAnsi="Times New Roman" w:eastAsia="仿宋" w:cs="宋体"/>
                <w:b/>
                <w:color w:val="333333"/>
                <w:kern w:val="0"/>
                <w:sz w:val="24"/>
                <w:szCs w:val="24"/>
              </w:rPr>
            </w:pPr>
          </w:p>
        </w:tc>
        <w:tc>
          <w:tcPr>
            <w:tcW w:w="6949" w:type="dxa"/>
            <w:gridSpan w:val="2"/>
          </w:tcPr>
          <w:p>
            <w:pPr>
              <w:spacing w:line="500" w:lineRule="exact"/>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Times New Roman" w:hAnsi="Times New Roman" w:eastAsia="仿宋" w:cs="宋体"/>
                <w:b/>
                <w:color w:val="333333"/>
                <w:kern w:val="0"/>
                <w:sz w:val="24"/>
                <w:szCs w:val="24"/>
              </w:rPr>
            </w:pPr>
          </w:p>
        </w:tc>
        <w:tc>
          <w:tcPr>
            <w:tcW w:w="6949" w:type="dxa"/>
            <w:gridSpan w:val="2"/>
          </w:tcPr>
          <w:p>
            <w:pPr>
              <w:spacing w:line="500" w:lineRule="exact"/>
              <w:rPr>
                <w:rFonts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eastAsia="仿宋" w:cs="宋体"/>
                <w:b/>
                <w:color w:val="333333"/>
                <w:kern w:val="0"/>
                <w:sz w:val="24"/>
                <w:szCs w:val="24"/>
              </w:rPr>
            </w:pPr>
            <w:r>
              <w:rPr>
                <w:rFonts w:hint="eastAsia" w:ascii="Times New Roman" w:hAnsi="Times New Roman" w:eastAsia="仿宋" w:cs="宋体"/>
                <w:b/>
                <w:color w:val="333333"/>
                <w:kern w:val="0"/>
                <w:sz w:val="24"/>
                <w:szCs w:val="24"/>
              </w:rPr>
              <w:t>备注</w:t>
            </w:r>
          </w:p>
        </w:tc>
        <w:tc>
          <w:tcPr>
            <w:tcW w:w="6949" w:type="dxa"/>
            <w:gridSpan w:val="2"/>
          </w:tcPr>
          <w:p>
            <w:pPr>
              <w:adjustRightInd w:val="0"/>
              <w:snapToGrid w:val="0"/>
              <w:rPr>
                <w:rFonts w:hint="eastAsia" w:ascii="Times New Roman" w:hAnsi="Times New Roman" w:eastAsia="仿宋" w:cs="宋体"/>
                <w:color w:val="333333"/>
                <w:kern w:val="0"/>
                <w:sz w:val="24"/>
                <w:szCs w:val="24"/>
              </w:rPr>
            </w:pPr>
            <w:r>
              <w:rPr>
                <w:rFonts w:hint="eastAsia" w:ascii="Times New Roman" w:hAnsi="Times New Roman" w:eastAsia="仿宋" w:cs="宋体"/>
                <w:color w:val="333333"/>
                <w:kern w:val="0"/>
                <w:sz w:val="24"/>
                <w:szCs w:val="24"/>
              </w:rPr>
              <w:t xml:space="preserve">本次交易涉及在境外设立一家合营企业，该合营企业并不在中国开展经济活动，因此，本次交易可以适用简易案件的理由为“4.参与集中的经营者在中国境外设立合营企业，合营企业不在中国境内从事经济活动。”。根据简易案件公示表的注释，无需在简易案件公示表的备注中说明本次交易涉及的相关市场以及合营双方在相关市场中的市场份额。 </w:t>
            </w:r>
          </w:p>
        </w:tc>
      </w:tr>
    </w:tbl>
    <w:p>
      <w:pPr>
        <w:snapToGrid w:val="0"/>
        <w:spacing w:line="240" w:lineRule="exact"/>
        <w:jc w:val="left"/>
        <w:rPr>
          <w:rFonts w:ascii="Times New Roman" w:hAnsi="Times New Roman" w:eastAsia="仿宋"/>
          <w:sz w:val="24"/>
          <w:szCs w:val="24"/>
        </w:rPr>
      </w:pPr>
    </w:p>
    <w:p>
      <w:pPr>
        <w:rPr>
          <w:rFonts w:ascii="Times New Roman" w:hAnsi="Times New Roman" w:eastAsia="仿宋"/>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方正小标宋简体">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73539"/>
    <w:rsid w:val="000B2B29"/>
    <w:rsid w:val="000C2D55"/>
    <w:rsid w:val="000D7EBA"/>
    <w:rsid w:val="000F73E1"/>
    <w:rsid w:val="00103516"/>
    <w:rsid w:val="001164CD"/>
    <w:rsid w:val="001536A8"/>
    <w:rsid w:val="00155717"/>
    <w:rsid w:val="001837A3"/>
    <w:rsid w:val="00272976"/>
    <w:rsid w:val="002732F8"/>
    <w:rsid w:val="00275810"/>
    <w:rsid w:val="002B57D1"/>
    <w:rsid w:val="002B683A"/>
    <w:rsid w:val="002E18AC"/>
    <w:rsid w:val="002E33C9"/>
    <w:rsid w:val="00375C13"/>
    <w:rsid w:val="003A7257"/>
    <w:rsid w:val="003C0AEB"/>
    <w:rsid w:val="00481614"/>
    <w:rsid w:val="004F7688"/>
    <w:rsid w:val="005330FE"/>
    <w:rsid w:val="00564696"/>
    <w:rsid w:val="005D58EF"/>
    <w:rsid w:val="005E13AC"/>
    <w:rsid w:val="006467D8"/>
    <w:rsid w:val="006A531B"/>
    <w:rsid w:val="006C3FE7"/>
    <w:rsid w:val="006F2A8E"/>
    <w:rsid w:val="006F7693"/>
    <w:rsid w:val="00710140"/>
    <w:rsid w:val="00726E5D"/>
    <w:rsid w:val="007A4192"/>
    <w:rsid w:val="007F2275"/>
    <w:rsid w:val="007F789D"/>
    <w:rsid w:val="00832C56"/>
    <w:rsid w:val="00885236"/>
    <w:rsid w:val="008B65E9"/>
    <w:rsid w:val="008D4276"/>
    <w:rsid w:val="00915F0F"/>
    <w:rsid w:val="00932924"/>
    <w:rsid w:val="009532DF"/>
    <w:rsid w:val="00997019"/>
    <w:rsid w:val="009A5029"/>
    <w:rsid w:val="009B4582"/>
    <w:rsid w:val="009D38D5"/>
    <w:rsid w:val="00A11723"/>
    <w:rsid w:val="00A35DE7"/>
    <w:rsid w:val="00A53F26"/>
    <w:rsid w:val="00A63221"/>
    <w:rsid w:val="00A7363A"/>
    <w:rsid w:val="00AA0CC5"/>
    <w:rsid w:val="00B13917"/>
    <w:rsid w:val="00B16AFE"/>
    <w:rsid w:val="00B65DD5"/>
    <w:rsid w:val="00BA20D8"/>
    <w:rsid w:val="00BD10B6"/>
    <w:rsid w:val="00BE3DAC"/>
    <w:rsid w:val="00C07076"/>
    <w:rsid w:val="00C106C1"/>
    <w:rsid w:val="00C13588"/>
    <w:rsid w:val="00C7117A"/>
    <w:rsid w:val="00CB00DF"/>
    <w:rsid w:val="00CE7A3C"/>
    <w:rsid w:val="00D36BD6"/>
    <w:rsid w:val="00D73C72"/>
    <w:rsid w:val="00D75100"/>
    <w:rsid w:val="00DA6756"/>
    <w:rsid w:val="00DB2550"/>
    <w:rsid w:val="00DB3909"/>
    <w:rsid w:val="00E0592B"/>
    <w:rsid w:val="00E31738"/>
    <w:rsid w:val="00E86786"/>
    <w:rsid w:val="00ED2F80"/>
    <w:rsid w:val="00F1624E"/>
    <w:rsid w:val="00F32F8A"/>
    <w:rsid w:val="00F810AA"/>
    <w:rsid w:val="00FB43EC"/>
    <w:rsid w:val="00FB6B40"/>
    <w:rsid w:val="00FE2280"/>
    <w:rsid w:val="00FE5BDB"/>
    <w:rsid w:val="3BC04166"/>
    <w:rsid w:val="47223294"/>
    <w:rsid w:val="5E6003D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99"/>
    <w:rPr>
      <w:rFonts w:ascii="Calibri" w:hAnsi="Calibri" w:eastAsia="宋体" w:cs="Times New Roman"/>
      <w:sz w:val="18"/>
      <w:szCs w:val="18"/>
    </w:rPr>
  </w:style>
  <w:style w:type="character" w:customStyle="1" w:styleId="12">
    <w:name w:val="页脚 Char"/>
    <w:basedOn w:val="9"/>
    <w:link w:val="4"/>
    <w:qFormat/>
    <w:uiPriority w:val="99"/>
    <w:rPr>
      <w:rFonts w:ascii="Calibri" w:hAnsi="Calibri" w:eastAsia="宋体" w:cs="Times New Roman"/>
      <w:sz w:val="18"/>
      <w:szCs w:val="18"/>
    </w:rPr>
  </w:style>
  <w:style w:type="character" w:customStyle="1" w:styleId="13">
    <w:name w:val="批注框文本 Char"/>
    <w:basedOn w:val="9"/>
    <w:link w:val="3"/>
    <w:semiHidden/>
    <w:qFormat/>
    <w:uiPriority w:val="99"/>
    <w:rPr>
      <w:rFonts w:ascii="Calibri" w:hAnsi="Calibri" w:eastAsia="宋体" w:cs="Times New Roman"/>
      <w:sz w:val="18"/>
      <w:szCs w:val="18"/>
    </w:rPr>
  </w:style>
  <w:style w:type="character" w:customStyle="1" w:styleId="14">
    <w:name w:val="批注文字 Char"/>
    <w:basedOn w:val="9"/>
    <w:link w:val="2"/>
    <w:semiHidden/>
    <w:qFormat/>
    <w:uiPriority w:val="99"/>
    <w:rPr>
      <w:rFonts w:ascii="Calibri" w:hAnsi="Calibri" w:eastAsia="宋体" w:cs="Times New Roman"/>
    </w:rPr>
  </w:style>
  <w:style w:type="character" w:customStyle="1" w:styleId="15">
    <w:name w:val="批注主题 Char"/>
    <w:basedOn w:val="14"/>
    <w:link w:val="6"/>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127</Words>
  <Characters>728</Characters>
  <Lines>6</Lines>
  <Paragraphs>1</Paragraphs>
  <TotalTime>28</TotalTime>
  <ScaleCrop>false</ScaleCrop>
  <LinksUpToDate>false</LinksUpToDate>
  <CharactersWithSpaces>854</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2021-12-21T14:42:00Z</dcterms:created>
  <dc:creator>Fangda</dc:creator>
  <cp:lastModifiedBy>袁振</cp:lastModifiedBy>
  <dcterms:modified xsi:type="dcterms:W3CDTF">2021-12-28T03:46:59Z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