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b/>
          <w:bCs/>
          <w:sz w:val="28"/>
          <w:szCs w:val="28"/>
          <w:lang w:eastAsia="zh-CN"/>
        </w:rPr>
      </w:pPr>
      <w:r>
        <w:rPr>
          <w:rFonts w:ascii="Times New Roman" w:hAnsi="Times New Roman"/>
          <w:b/>
          <w:bCs/>
          <w:sz w:val="28"/>
          <w:szCs w:val="28"/>
          <w:lang w:eastAsia="zh-CN"/>
        </w:rPr>
        <w:t>经营者集中简易案件公示表</w:t>
      </w:r>
    </w:p>
    <w:tbl>
      <w:tblPr>
        <w:tblStyle w:val="5"/>
        <w:tblW w:w="88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2"/>
        <w:gridCol w:w="1866"/>
        <w:gridCol w:w="48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2518" w:type="dxa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仿宋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案件名称</w:t>
            </w:r>
          </w:p>
        </w:tc>
        <w:tc>
          <w:tcPr>
            <w:tcW w:w="6379" w:type="dxa"/>
            <w:gridSpan w:val="2"/>
            <w:shd w:val="clear" w:color="auto" w:fill="auto"/>
            <w:vAlign w:val="center"/>
          </w:tcPr>
          <w:p>
            <w:pPr>
              <w:snapToGrid w:val="0"/>
              <w:spacing w:after="156" w:afterLines="50" w:line="276" w:lineRule="auto"/>
              <w:jc w:val="both"/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润楹物业科技服务有限公司收购禹洲物业服务有限公司股权案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仿宋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交易概况（限200字内）</w:t>
            </w:r>
          </w:p>
        </w:tc>
        <w:tc>
          <w:tcPr>
            <w:tcW w:w="6379" w:type="dxa"/>
            <w:gridSpan w:val="2"/>
            <w:shd w:val="clear" w:color="auto" w:fill="auto"/>
            <w:vAlign w:val="center"/>
          </w:tcPr>
          <w:p>
            <w:pPr>
              <w:snapToGrid w:val="0"/>
              <w:spacing w:after="156" w:afterLines="50" w:line="276" w:lineRule="auto"/>
              <w:jc w:val="both"/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根据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润楹物业科技服务有限公司（“</w:t>
            </w:r>
            <w:r>
              <w:rPr>
                <w:rFonts w:hint="eastAsia" w:ascii="Times New Roman" w:hAnsi="Times New Roman" w:eastAsia="仿宋"/>
                <w:b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润楹物业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”）和天津禹佳生活服务有限公司（“</w:t>
            </w:r>
            <w:r>
              <w:rPr>
                <w:rFonts w:hint="eastAsia" w:ascii="Times New Roman" w:hAnsi="Times New Roman" w:eastAsia="仿宋"/>
                <w:b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天津禹佳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”）签署的《股权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收购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框架协议》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润楹物业将从天津禹佳处收购其所持有的禹洲物业服务有限公司（“</w:t>
            </w:r>
            <w:r>
              <w:rPr>
                <w:rFonts w:hint="eastAsia" w:ascii="Times New Roman" w:hAnsi="Times New Roman" w:eastAsia="仿宋"/>
                <w:b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目标公司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”）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100%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股权（“</w:t>
            </w:r>
            <w:r>
              <w:rPr>
                <w:rFonts w:ascii="Times New Roman" w:hAnsi="Times New Roman" w:eastAsia="仿宋"/>
                <w:b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拟议交易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”）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。拟议交易后，目标公司将由润楹物业单独控制。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2518" w:type="dxa"/>
            <w:vMerge w:val="restart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仿宋"/>
                <w:b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参与集中的经营者简介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pStyle w:val="11"/>
              <w:numPr>
                <w:ilvl w:val="0"/>
                <w:numId w:val="1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firstLineChars="0"/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润楹物业</w:t>
            </w:r>
          </w:p>
        </w:tc>
        <w:tc>
          <w:tcPr>
            <w:tcW w:w="4933" w:type="dxa"/>
            <w:shd w:val="clear" w:color="auto" w:fill="auto"/>
            <w:vAlign w:val="center"/>
          </w:tcPr>
          <w:p>
            <w:pPr>
              <w:snapToGrid w:val="0"/>
              <w:spacing w:after="156" w:afterLines="50" w:line="276" w:lineRule="auto"/>
              <w:jc w:val="both"/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润楹物业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于2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017年8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月1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5日成立于中国深圳市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，其隶属于华润置地有限公司，后者是华润集团旗下从事城市建设与运营板块业务的公司，具体业务包括住宅开发、商业地产和城市更新、物业服务、文体教育等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2518" w:type="dxa"/>
            <w:vMerge w:val="continue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仿宋"/>
                <w:b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pStyle w:val="11"/>
              <w:numPr>
                <w:ilvl w:val="0"/>
                <w:numId w:val="1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firstLineChars="0"/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目标公司</w:t>
            </w:r>
          </w:p>
        </w:tc>
        <w:tc>
          <w:tcPr>
            <w:tcW w:w="4933" w:type="dxa"/>
            <w:shd w:val="clear" w:color="auto" w:fill="auto"/>
            <w:vAlign w:val="center"/>
          </w:tcPr>
          <w:p>
            <w:pPr>
              <w:snapToGrid w:val="0"/>
              <w:spacing w:after="156" w:afterLines="50" w:line="276" w:lineRule="auto"/>
              <w:jc w:val="both"/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目标公司于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1997年5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22日成立</w:t>
            </w:r>
            <w:bookmarkStart w:id="0" w:name="_GoBack"/>
            <w:bookmarkEnd w:id="0"/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于中国厦门市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，目标公司仅在中国境内开展业务活动，其主营业务为住宅物业管理服务。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Merge w:val="restart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仿宋"/>
                <w:b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简易案件理由（可以单选，也可以多选）</w:t>
            </w:r>
          </w:p>
        </w:tc>
        <w:tc>
          <w:tcPr>
            <w:tcW w:w="6379" w:type="dxa"/>
            <w:gridSpan w:val="2"/>
            <w:shd w:val="clear" w:color="auto" w:fill="auto"/>
          </w:tcPr>
          <w:p>
            <w:pPr>
              <w:tabs>
                <w:tab w:val="left" w:pos="350"/>
              </w:tabs>
              <w:spacing w:after="0" w:line="240" w:lineRule="auto"/>
              <w:ind w:right="20"/>
              <w:jc w:val="both"/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/>
                <w:sz w:val="21"/>
                <w:szCs w:val="21"/>
              </w:rPr>
              <w:sym w:font="Wingdings" w:char="F0FE"/>
            </w: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Merge w:val="continue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仿宋"/>
                <w:b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/>
                <w:sz w:val="21"/>
                <w:szCs w:val="21"/>
              </w:rPr>
              <w:sym w:font="Wingdings" w:char="F0FE"/>
            </w: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Merge w:val="continue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/>
                <w:sz w:val="21"/>
                <w:szCs w:val="21"/>
                <w:lang w:eastAsia="zh-CN"/>
              </w:rPr>
            </w:pPr>
            <w:r>
              <w:rPr>
                <w:rFonts w:ascii="仿宋" w:hAnsi="仿宋" w:eastAsia="仿宋" w:cs="Arial"/>
                <w:sz w:val="21"/>
                <w:szCs w:val="21"/>
              </w:rPr>
              <w:sym w:font="Wingdings" w:char="F0A8"/>
            </w: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Merge w:val="continue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 w:cs="Arial"/>
                <w:sz w:val="21"/>
                <w:szCs w:val="21"/>
                <w:lang w:eastAsia="zh-CN"/>
              </w:rPr>
            </w:pPr>
            <w:r>
              <w:rPr>
                <w:rFonts w:ascii="仿宋" w:hAnsi="仿宋" w:eastAsia="仿宋" w:cs="Arial"/>
                <w:sz w:val="21"/>
                <w:szCs w:val="21"/>
              </w:rPr>
              <w:sym w:font="Wingdings" w:char="F0A8"/>
            </w: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Merge w:val="continue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 w:cs="Arial"/>
                <w:sz w:val="21"/>
                <w:szCs w:val="21"/>
                <w:lang w:eastAsia="zh-CN"/>
              </w:rPr>
            </w:pPr>
            <w:r>
              <w:rPr>
                <w:rFonts w:ascii="仿宋" w:hAnsi="仿宋" w:eastAsia="仿宋" w:cs="Arial"/>
                <w:sz w:val="21"/>
                <w:szCs w:val="21"/>
              </w:rPr>
              <w:sym w:font="Wingdings" w:char="F0A8"/>
            </w: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Merge w:val="continue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 w:cs="Arial"/>
                <w:sz w:val="21"/>
                <w:szCs w:val="21"/>
                <w:lang w:eastAsia="zh-CN"/>
              </w:rPr>
            </w:pPr>
            <w:r>
              <w:rPr>
                <w:rFonts w:ascii="仿宋" w:hAnsi="仿宋" w:eastAsia="仿宋" w:cs="Arial"/>
                <w:sz w:val="21"/>
                <w:szCs w:val="21"/>
              </w:rPr>
              <w:sym w:font="Wingdings" w:char="F0A8"/>
            </w: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2" w:hRule="atLeast"/>
        </w:trPr>
        <w:tc>
          <w:tcPr>
            <w:tcW w:w="2518" w:type="dxa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6379" w:type="dxa"/>
            <w:gridSpan w:val="2"/>
            <w:shd w:val="clear" w:color="auto" w:fill="auto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/>
                <w:sz w:val="21"/>
                <w:szCs w:val="21"/>
                <w:lang w:eastAsia="zh-CN"/>
              </w:rPr>
            </w:pP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横向重叠市场</w:t>
            </w: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：住宅物业管理服务</w:t>
            </w:r>
          </w:p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/>
                <w:sz w:val="21"/>
                <w:szCs w:val="21"/>
                <w:lang w:eastAsia="zh-CN"/>
              </w:rPr>
            </w:pP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相关地域市场</w:t>
            </w: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：</w:t>
            </w: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合肥市、厦门市、福州市、上海市、苏州市、天津市、南京市、杭州市、扬州市</w:t>
            </w: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、</w:t>
            </w: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沈阳市</w:t>
            </w: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、武汉市、徐州市、唐山市、重庆市</w:t>
            </w:r>
          </w:p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/>
                <w:sz w:val="21"/>
                <w:szCs w:val="21"/>
                <w:lang w:eastAsia="zh-CN"/>
              </w:rPr>
            </w:pP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市场份额</w:t>
            </w: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：</w:t>
            </w:r>
          </w:p>
          <w:tbl>
            <w:tblPr>
              <w:tblStyle w:val="6"/>
              <w:tblW w:w="629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8"/>
              <w:gridCol w:w="538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  <w:shd w:val="clear" w:color="auto" w:fill="D8D8D8" w:themeFill="background1" w:themeFillShade="D9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城市</w:t>
                  </w:r>
                </w:p>
              </w:tc>
              <w:tc>
                <w:tcPr>
                  <w:tcW w:w="5387" w:type="dxa"/>
                  <w:shd w:val="clear" w:color="auto" w:fill="D8D8D8" w:themeFill="background1" w:themeFillShade="D9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市场份额数据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合肥市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双方合计：[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5-10%]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厦门市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双方合计：[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福州市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双方合计：[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上海市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双方合计：[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苏州市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双方合计：[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天津市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双方合计：[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南京市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双方合计：[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杭州市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双方合计：[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扬州市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双方合计：[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沈阳市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双方合计：[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武汉市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双方合计：[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徐州市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双方合计：[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唐山市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双方合计：[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重庆市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双方合计：[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</w:tbl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/>
                <w:sz w:val="21"/>
                <w:szCs w:val="21"/>
                <w:lang w:eastAsia="zh-CN"/>
              </w:rPr>
            </w:pPr>
          </w:p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纵向</w:t>
            </w: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关系市场</w:t>
            </w: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：商品住宅开发和销售（住宅物业管理服务的上游市场）</w:t>
            </w:r>
          </w:p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/>
                <w:sz w:val="21"/>
                <w:szCs w:val="21"/>
                <w:lang w:eastAsia="zh-CN"/>
              </w:rPr>
            </w:pP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相关地域市场</w:t>
            </w: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：</w:t>
            </w: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合肥市、厦门市、福州市、上海市、苏州市、天津市、南京市、杭州市、扬州市</w:t>
            </w: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、</w:t>
            </w: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沈阳市</w:t>
            </w: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、武汉市、徐州市、唐山市、重庆市</w:t>
            </w:r>
          </w:p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市场份额：</w:t>
            </w:r>
          </w:p>
          <w:tbl>
            <w:tblPr>
              <w:tblStyle w:val="6"/>
              <w:tblW w:w="325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8"/>
              <w:gridCol w:w="235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  <w:shd w:val="clear" w:color="auto" w:fill="D8D8D8" w:themeFill="background1" w:themeFillShade="D9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城市</w:t>
                  </w:r>
                </w:p>
              </w:tc>
              <w:tc>
                <w:tcPr>
                  <w:tcW w:w="2351" w:type="dxa"/>
                  <w:shd w:val="clear" w:color="auto" w:fill="D8D8D8" w:themeFill="background1" w:themeFillShade="D9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市场份额数据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合肥市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厦门市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5-10%]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福州市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上海市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苏州市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天津市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南京市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杭州市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扬州市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沈阳市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5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-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10%]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武汉市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徐州市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唐山市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重庆市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润楹物业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</w:tbl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 w:cs="Arial"/>
                <w:szCs w:val="21"/>
                <w:lang w:eastAsia="zh-CN"/>
              </w:rPr>
            </w:pPr>
          </w:p>
        </w:tc>
      </w:tr>
    </w:tbl>
    <w:p>
      <w:pPr>
        <w:rPr>
          <w:rFonts w:ascii="Times New Roman" w:hAnsi="Times New Roman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IDFont+F1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687CFB"/>
    <w:multiLevelType w:val="multilevel"/>
    <w:tmpl w:val="53687CF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04B"/>
    <w:rsid w:val="000558C1"/>
    <w:rsid w:val="000A372E"/>
    <w:rsid w:val="000C4BF5"/>
    <w:rsid w:val="000E4ACB"/>
    <w:rsid w:val="000F7FD1"/>
    <w:rsid w:val="00125CFE"/>
    <w:rsid w:val="001A7A3E"/>
    <w:rsid w:val="001D46C0"/>
    <w:rsid w:val="0021559F"/>
    <w:rsid w:val="00251E4B"/>
    <w:rsid w:val="002615DE"/>
    <w:rsid w:val="002A545B"/>
    <w:rsid w:val="002D5DA6"/>
    <w:rsid w:val="002E1B98"/>
    <w:rsid w:val="0031237A"/>
    <w:rsid w:val="00325A5C"/>
    <w:rsid w:val="0033045C"/>
    <w:rsid w:val="003908C5"/>
    <w:rsid w:val="003B02AF"/>
    <w:rsid w:val="003B1715"/>
    <w:rsid w:val="003B5CB4"/>
    <w:rsid w:val="00407A6F"/>
    <w:rsid w:val="00450030"/>
    <w:rsid w:val="00465206"/>
    <w:rsid w:val="0048514D"/>
    <w:rsid w:val="004E585E"/>
    <w:rsid w:val="004E6B00"/>
    <w:rsid w:val="00523F46"/>
    <w:rsid w:val="00532F43"/>
    <w:rsid w:val="00573FD4"/>
    <w:rsid w:val="0066706E"/>
    <w:rsid w:val="006820D1"/>
    <w:rsid w:val="00781511"/>
    <w:rsid w:val="007A4DAE"/>
    <w:rsid w:val="007D57EC"/>
    <w:rsid w:val="00931979"/>
    <w:rsid w:val="00944C9D"/>
    <w:rsid w:val="009470ED"/>
    <w:rsid w:val="0096510D"/>
    <w:rsid w:val="00A62945"/>
    <w:rsid w:val="00AD6C2B"/>
    <w:rsid w:val="00B226E5"/>
    <w:rsid w:val="00B50A96"/>
    <w:rsid w:val="00BC5690"/>
    <w:rsid w:val="00BE45F7"/>
    <w:rsid w:val="00C72855"/>
    <w:rsid w:val="00C95EC3"/>
    <w:rsid w:val="00CA782A"/>
    <w:rsid w:val="00D05619"/>
    <w:rsid w:val="00D7404B"/>
    <w:rsid w:val="00D902B6"/>
    <w:rsid w:val="00EA3FED"/>
    <w:rsid w:val="00EF4883"/>
    <w:rsid w:val="00F04290"/>
    <w:rsid w:val="00F34A83"/>
    <w:rsid w:val="00F94A4D"/>
    <w:rsid w:val="00F96A8D"/>
    <w:rsid w:val="00FA41BA"/>
    <w:rsid w:val="6E6A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</w:pPr>
    <w:rPr>
      <w:rFonts w:ascii="Arial" w:hAnsi="Arial" w:eastAsia="宋体" w:cs="Times New Roman"/>
      <w:kern w:val="16"/>
      <w:sz w:val="20"/>
      <w:szCs w:val="20"/>
      <w:lang w:val="en-GB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</w:tabs>
      <w:snapToGrid w:val="0"/>
      <w:spacing w:line="240" w:lineRule="atLeas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</w:tabs>
      <w:snapToGrid w:val="0"/>
      <w:spacing w:line="240" w:lineRule="atLeast"/>
      <w:jc w:val="center"/>
    </w:pPr>
    <w:rPr>
      <w:sz w:val="18"/>
      <w:szCs w:val="18"/>
    </w:rPr>
  </w:style>
  <w:style w:type="paragraph" w:styleId="4">
    <w:name w:val="footnote text"/>
    <w:basedOn w:val="1"/>
    <w:link w:val="12"/>
    <w:semiHidden/>
    <w:unhideWhenUsed/>
    <w:qFormat/>
    <w:uiPriority w:val="99"/>
    <w:pPr>
      <w:widowControl w:val="0"/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</w:tabs>
      <w:snapToGrid w:val="0"/>
      <w:spacing w:after="0" w:line="240" w:lineRule="auto"/>
    </w:pPr>
    <w:rPr>
      <w:rFonts w:asciiTheme="minorHAnsi" w:hAnsiTheme="minorHAnsi" w:eastAsiaTheme="minorEastAsia" w:cstheme="minorBidi"/>
      <w:kern w:val="2"/>
      <w:sz w:val="18"/>
      <w:szCs w:val="18"/>
      <w:lang w:val="en-US" w:eastAsia="zh-CN"/>
    </w:rPr>
  </w:style>
  <w:style w:type="table" w:styleId="6">
    <w:name w:val="Table Grid"/>
    <w:basedOn w:val="5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字符"/>
    <w:basedOn w:val="7"/>
    <w:link w:val="3"/>
    <w:qFormat/>
    <w:uiPriority w:val="99"/>
    <w:rPr>
      <w:rFonts w:ascii="Arial" w:hAnsi="Arial" w:eastAsia="宋体" w:cs="Times New Roman"/>
      <w:kern w:val="16"/>
      <w:sz w:val="18"/>
      <w:szCs w:val="18"/>
      <w:lang w:val="en-GB" w:eastAsia="en-US"/>
    </w:rPr>
  </w:style>
  <w:style w:type="character" w:customStyle="1" w:styleId="10">
    <w:name w:val="页脚 字符"/>
    <w:basedOn w:val="7"/>
    <w:link w:val="2"/>
    <w:qFormat/>
    <w:uiPriority w:val="99"/>
    <w:rPr>
      <w:rFonts w:ascii="Arial" w:hAnsi="Arial" w:eastAsia="宋体" w:cs="Times New Roman"/>
      <w:kern w:val="16"/>
      <w:sz w:val="18"/>
      <w:szCs w:val="18"/>
      <w:lang w:val="en-GB" w:eastAsia="en-US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脚注文本 字符"/>
    <w:basedOn w:val="7"/>
    <w:link w:val="4"/>
    <w:semiHidden/>
    <w:qFormat/>
    <w:uiPriority w:val="99"/>
    <w:rPr>
      <w:sz w:val="18"/>
      <w:szCs w:val="18"/>
    </w:rPr>
  </w:style>
  <w:style w:type="character" w:customStyle="1" w:styleId="13">
    <w:name w:val="fontstyle01"/>
    <w:basedOn w:val="7"/>
    <w:qFormat/>
    <w:uiPriority w:val="0"/>
    <w:rPr>
      <w:rFonts w:hint="default" w:ascii="CIDFont+F1" w:hAnsi="CIDFont+F1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251</Words>
  <Characters>1437</Characters>
  <Lines>11</Lines>
  <Paragraphs>3</Paragraphs>
  <TotalTime>84</TotalTime>
  <ScaleCrop>false</ScaleCrop>
  <LinksUpToDate>false</LinksUpToDate>
  <CharactersWithSpaces>1685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2021-12-23T07:33:00Z</dcterms:created>
  <dc:creator>Huang Shiheng</dc:creator>
  <cp:lastModifiedBy>袁振</cp:lastModifiedBy>
  <dcterms:modified xsi:type="dcterms:W3CDTF">2022-01-29T08:34:27Z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