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napToGrid w:val="0"/>
        <w:spacing w:after="120"/>
        <w:jc w:val="center"/>
        <w:rPr>
          <w:rFonts w:ascii="Times New Roman" w:eastAsia="华文楷体" w:hAnsi="Times New Roman"/>
          <w:b/>
          <w:bCs/>
          <w:sz w:val="24"/>
          <w:szCs w:val="24"/>
        </w:rPr>
      </w:pPr>
      <w:r>
        <w:rPr>
          <w:rFonts w:ascii="Times New Roman" w:eastAsia="华文楷体" w:hAnsi="Times New Roman"/>
          <w:b/>
          <w:bCs/>
          <w:sz w:val="24"/>
          <w:szCs w:val="24"/>
        </w:rPr>
        <w:t>经营者集中简易案件公示表</w:t>
      </w: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9"/>
        <w:gridCol w:w="2236"/>
        <w:gridCol w:w="4713"/>
      </w:tblGrid>
      <w:tr>
        <w:tc>
          <w:tcPr>
            <w:tcW w:w="1809" w:type="dxa"/>
            <w:shd w:val="clear" w:color="auto" w:fill="D9D9D9"/>
            <w:vAlign w:val="center"/>
          </w:tcPr>
          <w:p>
            <w:pPr>
              <w:snapToGrid w:val="0"/>
              <w:spacing w:after="120"/>
              <w:jc w:val="center"/>
              <w:rPr>
                <w:rFonts w:ascii="Times New Roman" w:eastAsia="华文楷体" w:hAnsi="Times New Roman"/>
                <w:kern w:val="0"/>
                <w:sz w:val="24"/>
                <w:szCs w:val="24"/>
              </w:rPr>
            </w:pPr>
            <w:r>
              <w:rPr>
                <w:rFonts w:ascii="Times New Roman" w:eastAsia="华文楷体" w:hAnsi="Times New Roman"/>
                <w:kern w:val="0"/>
                <w:sz w:val="24"/>
                <w:szCs w:val="24"/>
              </w:rPr>
              <w:t>案件名称</w:t>
            </w:r>
          </w:p>
        </w:tc>
        <w:tc>
          <w:tcPr>
            <w:tcW w:w="6949" w:type="dxa"/>
            <w:gridSpan w:val="2"/>
            <w:vAlign w:val="center"/>
          </w:tcPr>
          <w:p>
            <w:pPr>
              <w:snapToGrid w:val="0"/>
              <w:spacing w:after="120"/>
              <w:rPr>
                <w:rFonts w:ascii="Times New Roman" w:eastAsia="华文楷体" w:hAnsi="Times New Roman"/>
                <w:kern w:val="0"/>
                <w:sz w:val="24"/>
                <w:szCs w:val="24"/>
              </w:rPr>
            </w:pPr>
            <w:r>
              <w:rPr>
                <w:rFonts w:ascii="Times New Roman" w:eastAsia="华文楷体" w:hAnsi="Times New Roman" w:hint="eastAsia"/>
                <w:sz w:val="24"/>
                <w:szCs w:val="24"/>
              </w:rPr>
              <w:t>三井物产株式会社收购</w:t>
            </w:r>
            <w:r>
              <w:rPr>
                <w:rFonts w:ascii="Times New Roman" w:eastAsia="华文楷体" w:hAnsi="Times New Roman" w:hint="eastAsia"/>
                <w:sz w:val="24"/>
                <w:szCs w:val="24"/>
              </w:rPr>
              <w:t>Max &amp; Co.</w:t>
            </w:r>
            <w:r>
              <w:rPr>
                <w:rFonts w:ascii="Times New Roman" w:eastAsia="华文楷体" w:hAnsi="Times New Roman" w:hint="eastAsia"/>
                <w:sz w:val="24"/>
                <w:szCs w:val="24"/>
              </w:rPr>
              <w:t>日本株式会社股权案</w:t>
            </w:r>
          </w:p>
        </w:tc>
      </w:tr>
      <w:tr>
        <w:trPr>
          <w:trHeight w:val="993"/>
        </w:trPr>
        <w:tc>
          <w:tcPr>
            <w:tcW w:w="1809" w:type="dxa"/>
            <w:shd w:val="clear" w:color="auto" w:fill="D9D9D9"/>
            <w:vAlign w:val="center"/>
          </w:tcPr>
          <w:p>
            <w:pPr>
              <w:snapToGrid w:val="0"/>
              <w:spacing w:after="120"/>
              <w:jc w:val="center"/>
              <w:rPr>
                <w:rFonts w:ascii="Times New Roman" w:eastAsia="华文楷体" w:hAnsi="Times New Roman"/>
                <w:kern w:val="0"/>
                <w:sz w:val="24"/>
                <w:szCs w:val="24"/>
              </w:rPr>
            </w:pPr>
            <w:r>
              <w:rPr>
                <w:rFonts w:ascii="Times New Roman" w:eastAsia="华文楷体" w:hAnsi="Times New Roman"/>
                <w:kern w:val="0"/>
                <w:sz w:val="24"/>
                <w:szCs w:val="24"/>
              </w:rPr>
              <w:t>交易概况</w:t>
            </w:r>
          </w:p>
          <w:p>
            <w:pPr>
              <w:snapToGrid w:val="0"/>
              <w:spacing w:after="120"/>
              <w:jc w:val="center"/>
              <w:rPr>
                <w:rFonts w:ascii="Times New Roman" w:eastAsia="华文楷体" w:hAnsi="Times New Roman"/>
                <w:kern w:val="0"/>
                <w:sz w:val="24"/>
                <w:szCs w:val="24"/>
              </w:rPr>
            </w:pPr>
            <w:r>
              <w:rPr>
                <w:rFonts w:ascii="Times New Roman" w:eastAsia="华文楷体" w:hAnsi="Times New Roman"/>
                <w:kern w:val="0"/>
                <w:sz w:val="24"/>
                <w:szCs w:val="24"/>
              </w:rPr>
              <w:t>（限</w:t>
            </w:r>
            <w:r>
              <w:rPr>
                <w:rFonts w:ascii="Times New Roman" w:eastAsia="华文楷体" w:hAnsi="Times New Roman"/>
                <w:kern w:val="0"/>
                <w:sz w:val="24"/>
                <w:szCs w:val="24"/>
              </w:rPr>
              <w:t>200</w:t>
            </w:r>
            <w:r>
              <w:rPr>
                <w:rFonts w:ascii="Times New Roman" w:eastAsia="华文楷体" w:hAnsi="Times New Roman"/>
                <w:kern w:val="0"/>
                <w:sz w:val="24"/>
                <w:szCs w:val="24"/>
              </w:rPr>
              <w:t>字内）</w:t>
            </w:r>
          </w:p>
        </w:tc>
        <w:tc>
          <w:tcPr>
            <w:tcW w:w="6949" w:type="dxa"/>
            <w:gridSpan w:val="2"/>
          </w:tcPr>
          <w:p>
            <w:pPr>
              <w:snapToGrid w:val="0"/>
              <w:spacing w:after="120"/>
              <w:rPr>
                <w:rFonts w:ascii="Times New Roman" w:eastAsia="华文楷体" w:hAnsi="Times New Roman"/>
                <w:kern w:val="0"/>
                <w:sz w:val="24"/>
                <w:szCs w:val="24"/>
              </w:rPr>
            </w:pPr>
            <w:r>
              <w:rPr>
                <w:rFonts w:ascii="Times New Roman" w:eastAsia="华文楷体" w:hAnsi="Times New Roman" w:hint="eastAsia"/>
                <w:kern w:val="0"/>
                <w:sz w:val="24"/>
                <w:szCs w:val="24"/>
              </w:rPr>
              <w:t>本交易涉及三井物产株式会社（“</w:t>
            </w:r>
            <w:r>
              <w:rPr>
                <w:rFonts w:ascii="Times New Roman" w:eastAsia="华文楷体" w:hAnsi="Times New Roman" w:hint="eastAsia"/>
                <w:b/>
                <w:bCs/>
                <w:kern w:val="0"/>
                <w:sz w:val="24"/>
                <w:szCs w:val="24"/>
              </w:rPr>
              <w:t>三井</w:t>
            </w:r>
            <w:r>
              <w:rPr>
                <w:rFonts w:ascii="Times New Roman" w:eastAsia="华文楷体" w:hAnsi="Times New Roman" w:hint="eastAsia"/>
                <w:kern w:val="0"/>
                <w:sz w:val="24"/>
                <w:szCs w:val="24"/>
              </w:rPr>
              <w:t>”）通过麦丝玛拉日本株式会社（“</w:t>
            </w:r>
            <w:r>
              <w:rPr>
                <w:rFonts w:ascii="Times New Roman" w:eastAsia="华文楷体" w:hAnsi="Times New Roman" w:hint="eastAsia"/>
                <w:b/>
                <w:bCs/>
                <w:kern w:val="0"/>
                <w:sz w:val="24"/>
                <w:szCs w:val="24"/>
              </w:rPr>
              <w:t>麦丝玛拉日本</w:t>
            </w:r>
            <w:r>
              <w:rPr>
                <w:rFonts w:ascii="Times New Roman" w:eastAsia="华文楷体" w:hAnsi="Times New Roman" w:hint="eastAsia"/>
                <w:kern w:val="0"/>
                <w:sz w:val="24"/>
                <w:szCs w:val="24"/>
              </w:rPr>
              <w:t>”）收购</w:t>
            </w:r>
            <w:r>
              <w:rPr>
                <w:rFonts w:ascii="Times New Roman" w:eastAsia="华文楷体" w:hAnsi="Times New Roman" w:hint="eastAsia"/>
                <w:kern w:val="0"/>
                <w:sz w:val="24"/>
                <w:szCs w:val="24"/>
              </w:rPr>
              <w:t>Max &amp; Co.</w:t>
            </w:r>
            <w:r>
              <w:rPr>
                <w:rFonts w:ascii="Times New Roman" w:eastAsia="华文楷体" w:hAnsi="Times New Roman" w:hint="eastAsia"/>
                <w:kern w:val="0"/>
                <w:sz w:val="24"/>
                <w:szCs w:val="24"/>
              </w:rPr>
              <w:t>日本株式会社（“</w:t>
            </w:r>
            <w:r>
              <w:rPr>
                <w:rFonts w:ascii="Times New Roman" w:eastAsia="华文楷体" w:hAnsi="Times New Roman" w:hint="eastAsia"/>
                <w:b/>
                <w:bCs/>
                <w:kern w:val="0"/>
                <w:sz w:val="24"/>
                <w:szCs w:val="24"/>
              </w:rPr>
              <w:t>目标公司</w:t>
            </w:r>
            <w:r>
              <w:rPr>
                <w:rFonts w:ascii="Times New Roman" w:eastAsia="华文楷体" w:hAnsi="Times New Roman" w:hint="eastAsia"/>
                <w:kern w:val="0"/>
                <w:sz w:val="24"/>
                <w:szCs w:val="24"/>
              </w:rPr>
              <w:t>”）共同控制权事宜。本交易前，目标公司由麦丝玛拉时尚集团有限公司（“</w:t>
            </w:r>
            <w:r>
              <w:rPr>
                <w:rFonts w:ascii="Times New Roman" w:eastAsia="华文楷体" w:hAnsi="Times New Roman" w:hint="eastAsia"/>
                <w:b/>
                <w:bCs/>
                <w:kern w:val="0"/>
                <w:sz w:val="24"/>
                <w:szCs w:val="24"/>
              </w:rPr>
              <w:t>MMFG</w:t>
            </w:r>
            <w:r>
              <w:rPr>
                <w:rFonts w:ascii="Times New Roman" w:eastAsia="华文楷体" w:hAnsi="Times New Roman" w:hint="eastAsia"/>
                <w:kern w:val="0"/>
                <w:sz w:val="24"/>
                <w:szCs w:val="24"/>
              </w:rPr>
              <w:t>”）单独控制，麦丝玛拉日本由三井和麦丝玛拉集团（通过</w:t>
            </w:r>
            <w:r>
              <w:rPr>
                <w:rFonts w:ascii="Times New Roman" w:eastAsia="华文楷体" w:hAnsi="Times New Roman" w:hint="eastAsia"/>
                <w:kern w:val="0"/>
                <w:sz w:val="24"/>
                <w:szCs w:val="24"/>
              </w:rPr>
              <w:t>MMFG</w:t>
            </w:r>
            <w:r>
              <w:rPr>
                <w:rFonts w:ascii="Times New Roman" w:eastAsia="华文楷体" w:hAnsi="Times New Roman" w:hint="eastAsia"/>
                <w:kern w:val="0"/>
                <w:sz w:val="24"/>
                <w:szCs w:val="24"/>
              </w:rPr>
              <w:t>和国际时尚贸易有限公司（“</w:t>
            </w:r>
            <w:r>
              <w:rPr>
                <w:rFonts w:ascii="Times New Roman" w:eastAsia="华文楷体" w:hAnsi="Times New Roman" w:hint="eastAsia"/>
                <w:b/>
                <w:bCs/>
                <w:kern w:val="0"/>
                <w:sz w:val="24"/>
                <w:szCs w:val="24"/>
              </w:rPr>
              <w:t>IFT</w:t>
            </w:r>
            <w:r>
              <w:rPr>
                <w:rFonts w:ascii="Times New Roman" w:eastAsia="华文楷体" w:hAnsi="Times New Roman" w:hint="eastAsia"/>
                <w:kern w:val="0"/>
                <w:sz w:val="24"/>
                <w:szCs w:val="24"/>
              </w:rPr>
              <w:t>”））共同控制。本交易后，麦丝玛拉日本吸收合并目标公司，目标公司将由三井和麦丝玛拉集团（通过</w:t>
            </w:r>
            <w:r>
              <w:rPr>
                <w:rFonts w:ascii="Times New Roman" w:eastAsia="华文楷体" w:hAnsi="Times New Roman" w:hint="eastAsia"/>
                <w:kern w:val="0"/>
                <w:sz w:val="24"/>
                <w:szCs w:val="24"/>
              </w:rPr>
              <w:t>MMFG</w:t>
            </w:r>
            <w:r>
              <w:rPr>
                <w:rFonts w:ascii="Times New Roman" w:eastAsia="华文楷体" w:hAnsi="Times New Roman" w:hint="eastAsia"/>
                <w:kern w:val="0"/>
                <w:sz w:val="24"/>
                <w:szCs w:val="24"/>
              </w:rPr>
              <w:t>和</w:t>
            </w:r>
            <w:r>
              <w:rPr>
                <w:rFonts w:ascii="Times New Roman" w:eastAsia="华文楷体" w:hAnsi="Times New Roman" w:hint="eastAsia"/>
                <w:kern w:val="0"/>
                <w:sz w:val="24"/>
                <w:szCs w:val="24"/>
              </w:rPr>
              <w:t>IFT</w:t>
            </w:r>
            <w:r>
              <w:rPr>
                <w:rFonts w:ascii="Times New Roman" w:eastAsia="华文楷体" w:hAnsi="Times New Roman" w:hint="eastAsia"/>
                <w:kern w:val="0"/>
                <w:sz w:val="24"/>
                <w:szCs w:val="24"/>
              </w:rPr>
              <w:t>）共同控制（</w:t>
            </w:r>
            <w:r>
              <w:rPr>
                <w:rFonts w:ascii="Times New Roman" w:eastAsia="华文楷体" w:hAnsi="Times New Roman" w:hint="eastAsia"/>
                <w:kern w:val="0"/>
                <w:sz w:val="24"/>
                <w:szCs w:val="24"/>
              </w:rPr>
              <w:t>MMFG</w:t>
            </w:r>
            <w:r>
              <w:rPr>
                <w:rFonts w:ascii="Times New Roman" w:eastAsia="华文楷体" w:hAnsi="Times New Roman" w:hint="eastAsia"/>
                <w:kern w:val="0"/>
                <w:sz w:val="24"/>
                <w:szCs w:val="24"/>
              </w:rPr>
              <w:t>和</w:t>
            </w:r>
            <w:r>
              <w:rPr>
                <w:rFonts w:ascii="Times New Roman" w:eastAsia="华文楷体" w:hAnsi="Times New Roman" w:hint="eastAsia"/>
                <w:kern w:val="0"/>
                <w:sz w:val="24"/>
                <w:szCs w:val="24"/>
              </w:rPr>
              <w:t>IFT</w:t>
            </w:r>
            <w:r>
              <w:rPr>
                <w:rFonts w:ascii="Times New Roman" w:eastAsia="华文楷体" w:hAnsi="Times New Roman" w:hint="eastAsia"/>
                <w:kern w:val="0"/>
                <w:sz w:val="24"/>
                <w:szCs w:val="24"/>
              </w:rPr>
              <w:t>由</w:t>
            </w:r>
            <w:proofErr w:type="spellStart"/>
            <w:r>
              <w:rPr>
                <w:rFonts w:ascii="Times New Roman" w:eastAsia="华文楷体" w:hAnsi="Times New Roman" w:hint="eastAsia"/>
                <w:kern w:val="0"/>
                <w:sz w:val="24"/>
                <w:szCs w:val="24"/>
              </w:rPr>
              <w:t>Maramotti</w:t>
            </w:r>
            <w:proofErr w:type="spellEnd"/>
            <w:r>
              <w:rPr>
                <w:rFonts w:ascii="Times New Roman" w:eastAsia="华文楷体" w:hAnsi="Times New Roman" w:hint="eastAsia"/>
                <w:kern w:val="0"/>
                <w:sz w:val="24"/>
                <w:szCs w:val="24"/>
              </w:rPr>
              <w:t>家族最终控制因而同属麦丝玛拉集团）。</w:t>
            </w:r>
          </w:p>
        </w:tc>
      </w:tr>
      <w:tr>
        <w:trPr>
          <w:trHeight w:val="468"/>
        </w:trPr>
        <w:tc>
          <w:tcPr>
            <w:tcW w:w="1809" w:type="dxa"/>
            <w:vMerge w:val="restart"/>
            <w:shd w:val="clear" w:color="auto" w:fill="D9D9D9"/>
            <w:vAlign w:val="center"/>
          </w:tcPr>
          <w:p>
            <w:pPr>
              <w:snapToGrid w:val="0"/>
              <w:spacing w:after="120"/>
              <w:jc w:val="center"/>
              <w:rPr>
                <w:rFonts w:ascii="Times New Roman" w:eastAsia="华文楷体" w:hAnsi="Times New Roman"/>
                <w:kern w:val="0"/>
                <w:sz w:val="24"/>
                <w:szCs w:val="24"/>
              </w:rPr>
            </w:pPr>
            <w:r>
              <w:rPr>
                <w:rFonts w:ascii="Times New Roman" w:eastAsia="华文楷体" w:hAnsi="Times New Roman"/>
                <w:kern w:val="0"/>
                <w:sz w:val="24"/>
                <w:szCs w:val="24"/>
              </w:rPr>
              <w:t>参与集中的</w:t>
            </w:r>
          </w:p>
          <w:p>
            <w:pPr>
              <w:snapToGrid w:val="0"/>
              <w:spacing w:after="120"/>
              <w:jc w:val="center"/>
              <w:rPr>
                <w:rFonts w:ascii="Times New Roman" w:eastAsia="华文楷体" w:hAnsi="Times New Roman"/>
                <w:kern w:val="0"/>
                <w:sz w:val="24"/>
                <w:szCs w:val="24"/>
              </w:rPr>
            </w:pPr>
            <w:r>
              <w:rPr>
                <w:rFonts w:ascii="Times New Roman" w:eastAsia="华文楷体" w:hAnsi="Times New Roman"/>
                <w:kern w:val="0"/>
                <w:sz w:val="24"/>
                <w:szCs w:val="24"/>
              </w:rPr>
              <w:t>经营者简介</w:t>
            </w:r>
          </w:p>
        </w:tc>
        <w:tc>
          <w:tcPr>
            <w:tcW w:w="2236" w:type="dxa"/>
          </w:tcPr>
          <w:p>
            <w:pPr>
              <w:snapToGrid w:val="0"/>
              <w:spacing w:after="120"/>
              <w:jc w:val="left"/>
              <w:rPr>
                <w:rFonts w:ascii="Times New Roman" w:eastAsia="华文楷体" w:hAnsi="Times New Roman"/>
                <w:kern w:val="0"/>
                <w:sz w:val="24"/>
                <w:szCs w:val="24"/>
              </w:rPr>
            </w:pPr>
            <w:r>
              <w:rPr>
                <w:rFonts w:ascii="Times New Roman" w:eastAsia="仿宋_GB2312" w:hAnsi="Times New Roman"/>
                <w:sz w:val="24"/>
                <w:szCs w:val="24"/>
              </w:rPr>
              <w:t>1.</w:t>
            </w:r>
            <w:r>
              <w:rPr>
                <w:rFonts w:ascii="Times New Roman" w:eastAsia="仿宋_GB2312" w:hAnsi="Times New Roman"/>
                <w:b/>
                <w:bCs/>
                <w:i/>
                <w:iCs/>
                <w:sz w:val="24"/>
                <w:szCs w:val="24"/>
              </w:rPr>
              <w:t xml:space="preserve"> </w:t>
            </w:r>
            <w:r>
              <w:rPr>
                <w:rFonts w:ascii="Times New Roman" w:eastAsia="华文楷体" w:hAnsi="Times New Roman" w:hint="eastAsia"/>
                <w:kern w:val="0"/>
                <w:sz w:val="24"/>
                <w:szCs w:val="24"/>
              </w:rPr>
              <w:t>三井物产株式会社</w:t>
            </w:r>
          </w:p>
        </w:tc>
        <w:tc>
          <w:tcPr>
            <w:tcW w:w="4713" w:type="dxa"/>
            <w:vAlign w:val="center"/>
          </w:tcPr>
          <w:p>
            <w:pPr>
              <w:snapToGrid w:val="0"/>
              <w:spacing w:after="120"/>
              <w:rPr>
                <w:rFonts w:ascii="Times New Roman" w:eastAsia="华文楷体" w:hAnsi="Times New Roman"/>
                <w:kern w:val="0"/>
                <w:sz w:val="24"/>
                <w:szCs w:val="24"/>
              </w:rPr>
            </w:pPr>
            <w:r>
              <w:rPr>
                <w:rFonts w:ascii="Times New Roman" w:eastAsia="华文楷体" w:hAnsi="Times New Roman" w:hint="eastAsia"/>
                <w:kern w:val="0"/>
                <w:sz w:val="24"/>
                <w:szCs w:val="24"/>
              </w:rPr>
              <w:t>三井物产株式会社成立于</w:t>
            </w:r>
            <w:r>
              <w:rPr>
                <w:rFonts w:ascii="Times New Roman" w:eastAsia="华文楷体" w:hAnsi="Times New Roman" w:hint="eastAsia"/>
                <w:kern w:val="0"/>
                <w:sz w:val="24"/>
                <w:szCs w:val="24"/>
              </w:rPr>
              <w:t>1</w:t>
            </w:r>
            <w:r>
              <w:rPr>
                <w:rFonts w:ascii="Times New Roman" w:eastAsia="华文楷体" w:hAnsi="Times New Roman"/>
                <w:kern w:val="0"/>
                <w:sz w:val="24"/>
                <w:szCs w:val="24"/>
              </w:rPr>
              <w:t>947</w:t>
            </w:r>
            <w:r>
              <w:rPr>
                <w:rFonts w:ascii="Times New Roman" w:eastAsia="华文楷体" w:hAnsi="Times New Roman" w:hint="eastAsia"/>
                <w:kern w:val="0"/>
                <w:sz w:val="24"/>
                <w:szCs w:val="24"/>
              </w:rPr>
              <w:t>年，总部位于日本东京。三井物产株式会社在全球范围内多个领域开展业务，其中包括：（</w:t>
            </w:r>
            <w:r>
              <w:rPr>
                <w:rFonts w:ascii="Times New Roman" w:eastAsia="华文楷体" w:hAnsi="Times New Roman" w:hint="eastAsia"/>
                <w:kern w:val="0"/>
                <w:sz w:val="24"/>
                <w:szCs w:val="24"/>
              </w:rPr>
              <w:t>1</w:t>
            </w:r>
            <w:r>
              <w:rPr>
                <w:rFonts w:ascii="Times New Roman" w:eastAsia="华文楷体" w:hAnsi="Times New Roman" w:hint="eastAsia"/>
                <w:kern w:val="0"/>
                <w:sz w:val="24"/>
                <w:szCs w:val="24"/>
              </w:rPr>
              <w:t>）钢铁制品；（</w:t>
            </w:r>
            <w:r>
              <w:rPr>
                <w:rFonts w:ascii="Times New Roman" w:eastAsia="华文楷体" w:hAnsi="Times New Roman" w:hint="eastAsia"/>
                <w:kern w:val="0"/>
                <w:sz w:val="24"/>
                <w:szCs w:val="24"/>
              </w:rPr>
              <w:t>2</w:t>
            </w:r>
            <w:r>
              <w:rPr>
                <w:rFonts w:ascii="Times New Roman" w:eastAsia="华文楷体" w:hAnsi="Times New Roman" w:hint="eastAsia"/>
                <w:kern w:val="0"/>
                <w:sz w:val="24"/>
                <w:szCs w:val="24"/>
              </w:rPr>
              <w:t>）矿产和金属资源；（</w:t>
            </w:r>
            <w:r>
              <w:rPr>
                <w:rFonts w:ascii="Times New Roman" w:eastAsia="华文楷体" w:hAnsi="Times New Roman" w:hint="eastAsia"/>
                <w:kern w:val="0"/>
                <w:sz w:val="24"/>
                <w:szCs w:val="24"/>
              </w:rPr>
              <w:t>3</w:t>
            </w:r>
            <w:r>
              <w:rPr>
                <w:rFonts w:ascii="Times New Roman" w:eastAsia="华文楷体" w:hAnsi="Times New Roman" w:hint="eastAsia"/>
                <w:kern w:val="0"/>
                <w:sz w:val="24"/>
                <w:szCs w:val="24"/>
              </w:rPr>
              <w:t>）基础设施项目；（</w:t>
            </w:r>
            <w:r>
              <w:rPr>
                <w:rFonts w:ascii="Times New Roman" w:eastAsia="华文楷体" w:hAnsi="Times New Roman" w:hint="eastAsia"/>
                <w:kern w:val="0"/>
                <w:sz w:val="24"/>
                <w:szCs w:val="24"/>
              </w:rPr>
              <w:t>4</w:t>
            </w:r>
            <w:r>
              <w:rPr>
                <w:rFonts w:ascii="Times New Roman" w:eastAsia="华文楷体" w:hAnsi="Times New Roman" w:hint="eastAsia"/>
                <w:kern w:val="0"/>
                <w:sz w:val="24"/>
                <w:szCs w:val="24"/>
              </w:rPr>
              <w:t>）移动交通；（</w:t>
            </w:r>
            <w:r>
              <w:rPr>
                <w:rFonts w:ascii="Times New Roman" w:eastAsia="华文楷体" w:hAnsi="Times New Roman" w:hint="eastAsia"/>
                <w:kern w:val="0"/>
                <w:sz w:val="24"/>
                <w:szCs w:val="24"/>
              </w:rPr>
              <w:t>5</w:t>
            </w:r>
            <w:r>
              <w:rPr>
                <w:rFonts w:ascii="Times New Roman" w:eastAsia="华文楷体" w:hAnsi="Times New Roman" w:hint="eastAsia"/>
                <w:kern w:val="0"/>
                <w:sz w:val="24"/>
                <w:szCs w:val="24"/>
              </w:rPr>
              <w:t>）基础化学品；（</w:t>
            </w:r>
            <w:r>
              <w:rPr>
                <w:rFonts w:ascii="Times New Roman" w:eastAsia="华文楷体" w:hAnsi="Times New Roman" w:hint="eastAsia"/>
                <w:kern w:val="0"/>
                <w:sz w:val="24"/>
                <w:szCs w:val="24"/>
              </w:rPr>
              <w:t>6</w:t>
            </w:r>
            <w:r>
              <w:rPr>
                <w:rFonts w:ascii="Times New Roman" w:eastAsia="华文楷体" w:hAnsi="Times New Roman" w:hint="eastAsia"/>
                <w:kern w:val="0"/>
                <w:sz w:val="24"/>
                <w:szCs w:val="24"/>
              </w:rPr>
              <w:t>）高性能化学品；（</w:t>
            </w:r>
            <w:r>
              <w:rPr>
                <w:rFonts w:ascii="Times New Roman" w:eastAsia="华文楷体" w:hAnsi="Times New Roman" w:hint="eastAsia"/>
                <w:kern w:val="0"/>
                <w:sz w:val="24"/>
                <w:szCs w:val="24"/>
              </w:rPr>
              <w:t>7</w:t>
            </w:r>
            <w:r>
              <w:rPr>
                <w:rFonts w:ascii="Times New Roman" w:eastAsia="华文楷体" w:hAnsi="Times New Roman" w:hint="eastAsia"/>
                <w:kern w:val="0"/>
                <w:sz w:val="24"/>
                <w:szCs w:val="24"/>
              </w:rPr>
              <w:t>）能源；（</w:t>
            </w:r>
            <w:r>
              <w:rPr>
                <w:rFonts w:ascii="Times New Roman" w:eastAsia="华文楷体" w:hAnsi="Times New Roman" w:hint="eastAsia"/>
                <w:kern w:val="0"/>
                <w:sz w:val="24"/>
                <w:szCs w:val="24"/>
              </w:rPr>
              <w:t>8</w:t>
            </w:r>
            <w:r>
              <w:rPr>
                <w:rFonts w:ascii="Times New Roman" w:eastAsia="华文楷体" w:hAnsi="Times New Roman" w:hint="eastAsia"/>
                <w:kern w:val="0"/>
                <w:sz w:val="24"/>
                <w:szCs w:val="24"/>
              </w:rPr>
              <w:t>）食品事业；（</w:t>
            </w:r>
            <w:r>
              <w:rPr>
                <w:rFonts w:ascii="Times New Roman" w:eastAsia="华文楷体" w:hAnsi="Times New Roman" w:hint="eastAsia"/>
                <w:kern w:val="0"/>
                <w:sz w:val="24"/>
                <w:szCs w:val="24"/>
              </w:rPr>
              <w:t>9</w:t>
            </w:r>
            <w:r>
              <w:rPr>
                <w:rFonts w:ascii="Times New Roman" w:eastAsia="华文楷体" w:hAnsi="Times New Roman" w:hint="eastAsia"/>
                <w:kern w:val="0"/>
                <w:sz w:val="24"/>
                <w:szCs w:val="24"/>
              </w:rPr>
              <w:t>）消费者服务；以及（</w:t>
            </w:r>
            <w:r>
              <w:rPr>
                <w:rFonts w:ascii="Times New Roman" w:eastAsia="华文楷体" w:hAnsi="Times New Roman" w:hint="eastAsia"/>
                <w:kern w:val="0"/>
                <w:sz w:val="24"/>
                <w:szCs w:val="24"/>
              </w:rPr>
              <w:t>10</w:t>
            </w:r>
            <w:r>
              <w:rPr>
                <w:rFonts w:ascii="Times New Roman" w:eastAsia="华文楷体" w:hAnsi="Times New Roman" w:hint="eastAsia"/>
                <w:kern w:val="0"/>
                <w:sz w:val="24"/>
                <w:szCs w:val="24"/>
              </w:rPr>
              <w:t>）信息技术与通信</w:t>
            </w:r>
            <w:r>
              <w:rPr>
                <w:rFonts w:ascii="Times New Roman" w:eastAsia="华文楷体" w:hAnsi="Times New Roman" w:hint="eastAsia"/>
                <w:kern w:val="0"/>
                <w:sz w:val="24"/>
                <w:szCs w:val="24"/>
              </w:rPr>
              <w:t>/</w:t>
            </w:r>
            <w:r>
              <w:rPr>
                <w:rFonts w:ascii="Times New Roman" w:eastAsia="华文楷体" w:hAnsi="Times New Roman" w:hint="eastAsia"/>
                <w:kern w:val="0"/>
                <w:sz w:val="24"/>
                <w:szCs w:val="24"/>
              </w:rPr>
              <w:t>企业发展。</w:t>
            </w:r>
          </w:p>
        </w:tc>
      </w:tr>
      <w:tr>
        <w:trPr>
          <w:trHeight w:val="404"/>
        </w:trPr>
        <w:tc>
          <w:tcPr>
            <w:tcW w:w="1809" w:type="dxa"/>
            <w:vMerge/>
            <w:shd w:val="clear" w:color="auto" w:fill="D9D9D9"/>
            <w:vAlign w:val="center"/>
          </w:tcPr>
          <w:p>
            <w:pPr>
              <w:snapToGrid w:val="0"/>
              <w:spacing w:after="120"/>
              <w:jc w:val="center"/>
              <w:rPr>
                <w:rFonts w:ascii="Times New Roman" w:eastAsia="华文楷体" w:hAnsi="Times New Roman"/>
                <w:kern w:val="0"/>
                <w:sz w:val="24"/>
                <w:szCs w:val="24"/>
              </w:rPr>
            </w:pPr>
          </w:p>
        </w:tc>
        <w:tc>
          <w:tcPr>
            <w:tcW w:w="2236" w:type="dxa"/>
          </w:tcPr>
          <w:p>
            <w:pPr>
              <w:snapToGrid w:val="0"/>
              <w:spacing w:after="120"/>
              <w:rPr>
                <w:rFonts w:ascii="Times New Roman" w:eastAsia="华文楷体" w:hAnsi="Times New Roman"/>
                <w:kern w:val="0"/>
                <w:sz w:val="24"/>
                <w:szCs w:val="24"/>
              </w:rPr>
            </w:pPr>
            <w:r>
              <w:rPr>
                <w:rFonts w:ascii="Times New Roman" w:eastAsia="仿宋_GB2312" w:hAnsi="Times New Roman"/>
                <w:sz w:val="24"/>
                <w:szCs w:val="24"/>
              </w:rPr>
              <w:t>2.</w:t>
            </w:r>
            <w:r>
              <w:rPr>
                <w:rFonts w:ascii="Times New Roman" w:eastAsia="华文楷体" w:hAnsi="Times New Roman" w:hint="eastAsia"/>
                <w:kern w:val="0"/>
                <w:sz w:val="24"/>
                <w:szCs w:val="24"/>
              </w:rPr>
              <w:t xml:space="preserve"> </w:t>
            </w:r>
            <w:r>
              <w:rPr>
                <w:rFonts w:ascii="Times New Roman" w:eastAsia="华文楷体" w:hAnsi="Times New Roman" w:hint="eastAsia"/>
                <w:kern w:val="0"/>
                <w:sz w:val="24"/>
                <w:szCs w:val="24"/>
              </w:rPr>
              <w:t>麦丝玛拉时尚集团有限公司</w:t>
            </w:r>
          </w:p>
        </w:tc>
        <w:tc>
          <w:tcPr>
            <w:tcW w:w="4713" w:type="dxa"/>
          </w:tcPr>
          <w:p>
            <w:pPr>
              <w:snapToGrid w:val="0"/>
              <w:spacing w:after="120"/>
              <w:rPr>
                <w:rFonts w:ascii="Times New Roman" w:eastAsia="华文楷体" w:hAnsi="Times New Roman"/>
                <w:sz w:val="24"/>
                <w:szCs w:val="24"/>
              </w:rPr>
            </w:pPr>
            <w:r>
              <w:rPr>
                <w:rFonts w:ascii="Times New Roman" w:eastAsia="华文楷体" w:hAnsi="Times New Roman" w:hint="eastAsia"/>
                <w:kern w:val="0"/>
                <w:sz w:val="24"/>
                <w:szCs w:val="24"/>
              </w:rPr>
              <w:t>麦丝玛拉时尚集团有限公司成立于</w:t>
            </w:r>
            <w:r>
              <w:rPr>
                <w:rFonts w:ascii="Times New Roman" w:eastAsia="华文楷体" w:hAnsi="Times New Roman" w:hint="eastAsia"/>
                <w:kern w:val="0"/>
                <w:sz w:val="24"/>
                <w:szCs w:val="24"/>
              </w:rPr>
              <w:t>1</w:t>
            </w:r>
            <w:r>
              <w:rPr>
                <w:rFonts w:ascii="Times New Roman" w:eastAsia="华文楷体" w:hAnsi="Times New Roman"/>
                <w:kern w:val="0"/>
                <w:sz w:val="24"/>
                <w:szCs w:val="24"/>
              </w:rPr>
              <w:t>951</w:t>
            </w:r>
            <w:r>
              <w:rPr>
                <w:rFonts w:ascii="Times New Roman" w:eastAsia="华文楷体" w:hAnsi="Times New Roman" w:hint="eastAsia"/>
                <w:kern w:val="0"/>
                <w:sz w:val="24"/>
                <w:szCs w:val="24"/>
              </w:rPr>
              <w:t>年，总部位于</w:t>
            </w:r>
            <w:r>
              <w:rPr>
                <w:rFonts w:ascii="Times New Roman" w:eastAsia="华文楷体" w:hAnsi="Times New Roman" w:hint="eastAsia"/>
                <w:sz w:val="24"/>
                <w:szCs w:val="24"/>
              </w:rPr>
              <w:t>意大利雷焦艾米利亚。</w:t>
            </w:r>
            <w:r>
              <w:rPr>
                <w:rFonts w:ascii="Times New Roman" w:eastAsia="华文楷体" w:hAnsi="Times New Roman" w:hint="eastAsia"/>
                <w:kern w:val="0"/>
                <w:sz w:val="24"/>
                <w:szCs w:val="24"/>
              </w:rPr>
              <w:t>麦丝玛拉时尚集团有限公司</w:t>
            </w:r>
            <w:r>
              <w:rPr>
                <w:rFonts w:ascii="Times New Roman" w:eastAsia="华文楷体" w:hAnsi="Times New Roman" w:hint="eastAsia"/>
                <w:sz w:val="24"/>
                <w:szCs w:val="24"/>
              </w:rPr>
              <w:t>在时尚领域从事女装和配饰（包、手套和皮革制品等）的生产和销售。</w:t>
            </w:r>
          </w:p>
        </w:tc>
      </w:tr>
      <w:tr>
        <w:trPr>
          <w:trHeight w:val="404"/>
        </w:trPr>
        <w:tc>
          <w:tcPr>
            <w:tcW w:w="1809" w:type="dxa"/>
            <w:vMerge/>
            <w:shd w:val="clear" w:color="auto" w:fill="D9D9D9"/>
            <w:vAlign w:val="center"/>
          </w:tcPr>
          <w:p>
            <w:pPr>
              <w:snapToGrid w:val="0"/>
              <w:spacing w:after="120"/>
              <w:jc w:val="center"/>
              <w:rPr>
                <w:rFonts w:ascii="Times New Roman" w:eastAsia="华文楷体" w:hAnsi="Times New Roman"/>
                <w:kern w:val="0"/>
                <w:sz w:val="24"/>
                <w:szCs w:val="24"/>
              </w:rPr>
            </w:pPr>
          </w:p>
        </w:tc>
        <w:tc>
          <w:tcPr>
            <w:tcW w:w="2236" w:type="dxa"/>
          </w:tcPr>
          <w:p>
            <w:pPr>
              <w:snapToGrid w:val="0"/>
              <w:spacing w:after="120"/>
              <w:rPr>
                <w:rFonts w:ascii="Times New Roman" w:eastAsia="仿宋_GB2312" w:hAnsi="Times New Roman"/>
                <w:sz w:val="24"/>
                <w:szCs w:val="24"/>
              </w:rPr>
            </w:pPr>
            <w:r>
              <w:rPr>
                <w:rFonts w:ascii="Times New Roman" w:eastAsia="仿宋_GB2312" w:hAnsi="Times New Roman"/>
                <w:sz w:val="24"/>
                <w:szCs w:val="24"/>
              </w:rPr>
              <w:t xml:space="preserve">3. </w:t>
            </w:r>
            <w:r>
              <w:rPr>
                <w:rFonts w:ascii="Times New Roman" w:eastAsia="华文楷体" w:hAnsi="Times New Roman" w:hint="eastAsia"/>
                <w:kern w:val="0"/>
                <w:sz w:val="24"/>
                <w:szCs w:val="24"/>
              </w:rPr>
              <w:t>国际时尚贸易有限公司</w:t>
            </w:r>
          </w:p>
        </w:tc>
        <w:tc>
          <w:tcPr>
            <w:tcW w:w="4713" w:type="dxa"/>
          </w:tcPr>
          <w:p>
            <w:pPr>
              <w:snapToGrid w:val="0"/>
              <w:spacing w:after="120"/>
              <w:rPr>
                <w:rFonts w:ascii="Times New Roman" w:eastAsia="华文楷体" w:hAnsi="Times New Roman"/>
                <w:kern w:val="0"/>
                <w:sz w:val="24"/>
                <w:szCs w:val="24"/>
              </w:rPr>
            </w:pPr>
            <w:r>
              <w:rPr>
                <w:rFonts w:ascii="Times New Roman" w:eastAsia="华文楷体" w:hAnsi="Times New Roman" w:hint="eastAsia"/>
                <w:kern w:val="0"/>
                <w:sz w:val="24"/>
                <w:szCs w:val="24"/>
              </w:rPr>
              <w:t>国际时尚贸易有限公司成立于</w:t>
            </w:r>
            <w:r>
              <w:rPr>
                <w:rFonts w:ascii="Times New Roman" w:eastAsia="华文楷体" w:hAnsi="Times New Roman" w:hint="eastAsia"/>
                <w:kern w:val="0"/>
                <w:sz w:val="24"/>
                <w:szCs w:val="24"/>
              </w:rPr>
              <w:t>1</w:t>
            </w:r>
            <w:r>
              <w:rPr>
                <w:rFonts w:ascii="Times New Roman" w:eastAsia="华文楷体" w:hAnsi="Times New Roman"/>
                <w:kern w:val="0"/>
                <w:sz w:val="24"/>
                <w:szCs w:val="24"/>
              </w:rPr>
              <w:t>995</w:t>
            </w:r>
            <w:r>
              <w:rPr>
                <w:rFonts w:ascii="Times New Roman" w:eastAsia="华文楷体" w:hAnsi="Times New Roman" w:hint="eastAsia"/>
                <w:kern w:val="0"/>
                <w:sz w:val="24"/>
                <w:szCs w:val="24"/>
              </w:rPr>
              <w:t>年，总部位于卢森堡。麦丝玛拉时尚集团有限公司和国际贸易有限公司同属于麦丝玛拉集团的一部分。国际贸易时尚有限公司是麦丝玛拉时尚集团有限公司的服装贸易商。</w:t>
            </w:r>
          </w:p>
        </w:tc>
      </w:tr>
      <w:tr>
        <w:trPr>
          <w:trHeight w:val="279"/>
        </w:trPr>
        <w:tc>
          <w:tcPr>
            <w:tcW w:w="1809" w:type="dxa"/>
            <w:vMerge w:val="restart"/>
            <w:shd w:val="clear" w:color="auto" w:fill="D9D9D9"/>
            <w:vAlign w:val="center"/>
          </w:tcPr>
          <w:p>
            <w:pPr>
              <w:snapToGrid w:val="0"/>
              <w:spacing w:after="120"/>
              <w:jc w:val="center"/>
              <w:rPr>
                <w:rFonts w:ascii="Times New Roman" w:eastAsia="华文楷体" w:hAnsi="Times New Roman"/>
                <w:kern w:val="0"/>
                <w:sz w:val="24"/>
                <w:szCs w:val="24"/>
              </w:rPr>
            </w:pPr>
            <w:r>
              <w:rPr>
                <w:rFonts w:ascii="Times New Roman" w:eastAsia="华文楷体" w:hAnsi="Times New Roman"/>
                <w:kern w:val="0"/>
                <w:sz w:val="24"/>
                <w:szCs w:val="24"/>
              </w:rPr>
              <w:t>简易案件理由（可以单选，也可以多选）</w:t>
            </w:r>
          </w:p>
        </w:tc>
        <w:tc>
          <w:tcPr>
            <w:tcW w:w="6949" w:type="dxa"/>
            <w:gridSpan w:val="2"/>
            <w:vAlign w:val="center"/>
          </w:tcPr>
          <w:p>
            <w:pPr>
              <w:snapToGrid w:val="0"/>
              <w:spacing w:after="120"/>
              <w:rPr>
                <w:rFonts w:ascii="Times New Roman" w:eastAsia="华文楷体" w:hAnsi="Times New Roman"/>
                <w:kern w:val="0"/>
                <w:sz w:val="24"/>
                <w:szCs w:val="24"/>
              </w:rPr>
            </w:pPr>
            <w:r>
              <w:rPr>
                <w:rFonts w:ascii="Times New Roman" w:eastAsia="华文楷体" w:hAnsi="Times New Roman"/>
                <w:kern w:val="0"/>
                <w:sz w:val="24"/>
                <w:szCs w:val="24"/>
              </w:rPr>
              <w:sym w:font="Wingdings" w:char="F0A8"/>
            </w:r>
            <w:r>
              <w:rPr>
                <w:rFonts w:ascii="Times New Roman" w:eastAsia="华文楷体" w:hAnsi="Times New Roman"/>
                <w:kern w:val="0"/>
                <w:sz w:val="24"/>
                <w:szCs w:val="24"/>
              </w:rPr>
              <w:t xml:space="preserve"> 1.</w:t>
            </w:r>
            <w:r>
              <w:rPr>
                <w:rFonts w:ascii="Times New Roman" w:eastAsia="华文楷体" w:hAnsi="Times New Roman"/>
                <w:kern w:val="0"/>
                <w:sz w:val="24"/>
                <w:szCs w:val="24"/>
              </w:rPr>
              <w:t>在同一相关市场，所有参与集中的经营者所占市场份额之和小于</w:t>
            </w:r>
            <w:r>
              <w:rPr>
                <w:rFonts w:ascii="Times New Roman" w:eastAsia="华文楷体" w:hAnsi="Times New Roman"/>
                <w:kern w:val="0"/>
                <w:sz w:val="24"/>
                <w:szCs w:val="24"/>
              </w:rPr>
              <w:t>15%</w:t>
            </w:r>
            <w:r>
              <w:rPr>
                <w:rFonts w:ascii="Times New Roman" w:eastAsia="华文楷体" w:hAnsi="Times New Roman"/>
                <w:kern w:val="0"/>
                <w:sz w:val="24"/>
                <w:szCs w:val="24"/>
              </w:rPr>
              <w:t>。</w:t>
            </w:r>
          </w:p>
        </w:tc>
      </w:tr>
      <w:tr>
        <w:trPr>
          <w:trHeight w:val="330"/>
        </w:trPr>
        <w:tc>
          <w:tcPr>
            <w:tcW w:w="1809" w:type="dxa"/>
            <w:vMerge/>
            <w:shd w:val="clear" w:color="auto" w:fill="D9D9D9"/>
            <w:vAlign w:val="center"/>
          </w:tcPr>
          <w:p>
            <w:pPr>
              <w:snapToGrid w:val="0"/>
              <w:spacing w:after="120"/>
              <w:jc w:val="center"/>
              <w:rPr>
                <w:rFonts w:ascii="Times New Roman" w:eastAsia="华文楷体" w:hAnsi="Times New Roman"/>
                <w:kern w:val="0"/>
                <w:sz w:val="24"/>
                <w:szCs w:val="24"/>
              </w:rPr>
            </w:pPr>
          </w:p>
        </w:tc>
        <w:tc>
          <w:tcPr>
            <w:tcW w:w="6949" w:type="dxa"/>
            <w:gridSpan w:val="2"/>
            <w:vAlign w:val="center"/>
          </w:tcPr>
          <w:p>
            <w:pPr>
              <w:snapToGrid w:val="0"/>
              <w:spacing w:after="120"/>
              <w:rPr>
                <w:rFonts w:ascii="Times New Roman" w:eastAsia="华文楷体" w:hAnsi="Times New Roman"/>
                <w:kern w:val="0"/>
                <w:sz w:val="24"/>
                <w:szCs w:val="24"/>
              </w:rPr>
            </w:pPr>
            <w:r>
              <w:rPr>
                <w:rFonts w:ascii="Times New Roman" w:eastAsia="华文楷体" w:hAnsi="Times New Roman"/>
                <w:kern w:val="0"/>
                <w:sz w:val="24"/>
                <w:szCs w:val="24"/>
              </w:rPr>
              <w:sym w:font="Wingdings" w:char="F0A8"/>
            </w:r>
            <w:r>
              <w:rPr>
                <w:rFonts w:ascii="Times New Roman" w:eastAsia="华文楷体" w:hAnsi="Times New Roman"/>
                <w:kern w:val="0"/>
                <w:sz w:val="24"/>
                <w:szCs w:val="24"/>
              </w:rPr>
              <w:t xml:space="preserve"> 2.</w:t>
            </w:r>
            <w:r>
              <w:rPr>
                <w:rFonts w:ascii="Times New Roman" w:eastAsia="华文楷体" w:hAnsi="Times New Roman"/>
                <w:kern w:val="0"/>
                <w:sz w:val="24"/>
                <w:szCs w:val="24"/>
              </w:rPr>
              <w:t>存在上下游关系的参与集中的经营者，在上下游市场所占的市场份额均小于</w:t>
            </w:r>
            <w:r>
              <w:rPr>
                <w:rFonts w:ascii="Times New Roman" w:eastAsia="华文楷体" w:hAnsi="Times New Roman"/>
                <w:kern w:val="0"/>
                <w:sz w:val="24"/>
                <w:szCs w:val="24"/>
              </w:rPr>
              <w:t>25%</w:t>
            </w:r>
            <w:r>
              <w:rPr>
                <w:rFonts w:ascii="Times New Roman" w:eastAsia="华文楷体" w:hAnsi="Times New Roman"/>
                <w:kern w:val="0"/>
                <w:sz w:val="24"/>
                <w:szCs w:val="24"/>
              </w:rPr>
              <w:t>。</w:t>
            </w:r>
          </w:p>
        </w:tc>
      </w:tr>
      <w:tr>
        <w:trPr>
          <w:trHeight w:val="285"/>
        </w:trPr>
        <w:tc>
          <w:tcPr>
            <w:tcW w:w="1809" w:type="dxa"/>
            <w:vMerge/>
            <w:shd w:val="clear" w:color="auto" w:fill="D9D9D9"/>
            <w:vAlign w:val="center"/>
          </w:tcPr>
          <w:p>
            <w:pPr>
              <w:snapToGrid w:val="0"/>
              <w:spacing w:after="120"/>
              <w:jc w:val="center"/>
              <w:rPr>
                <w:rFonts w:ascii="Times New Roman" w:eastAsia="华文楷体" w:hAnsi="Times New Roman"/>
                <w:kern w:val="0"/>
                <w:sz w:val="24"/>
                <w:szCs w:val="24"/>
              </w:rPr>
            </w:pPr>
          </w:p>
        </w:tc>
        <w:tc>
          <w:tcPr>
            <w:tcW w:w="6949" w:type="dxa"/>
            <w:gridSpan w:val="2"/>
            <w:vAlign w:val="center"/>
          </w:tcPr>
          <w:p>
            <w:pPr>
              <w:snapToGrid w:val="0"/>
              <w:spacing w:after="120"/>
              <w:rPr>
                <w:rFonts w:ascii="Times New Roman" w:eastAsia="华文楷体" w:hAnsi="Times New Roman"/>
                <w:kern w:val="0"/>
                <w:sz w:val="24"/>
                <w:szCs w:val="24"/>
              </w:rPr>
            </w:pPr>
            <w:r>
              <w:rPr>
                <w:rFonts w:ascii="Times New Roman" w:eastAsia="华文楷体" w:hAnsi="Times New Roman"/>
                <w:kern w:val="0"/>
                <w:sz w:val="24"/>
                <w:szCs w:val="24"/>
              </w:rPr>
              <w:sym w:font="Wingdings" w:char="F0A8"/>
            </w:r>
            <w:r>
              <w:rPr>
                <w:rFonts w:ascii="Times New Roman" w:eastAsia="华文楷体" w:hAnsi="Times New Roman"/>
                <w:kern w:val="0"/>
                <w:sz w:val="24"/>
                <w:szCs w:val="24"/>
              </w:rPr>
              <w:t xml:space="preserve"> 3.</w:t>
            </w:r>
            <w:r>
              <w:rPr>
                <w:rFonts w:ascii="Times New Roman" w:eastAsia="华文楷体" w:hAnsi="Times New Roman"/>
                <w:kern w:val="0"/>
                <w:sz w:val="24"/>
                <w:szCs w:val="24"/>
              </w:rPr>
              <w:t>不在同一相关市场、也不存在上下游关系的参与集中的经营者，在与交易有关的每个市场所占的份额均小于</w:t>
            </w:r>
            <w:r>
              <w:rPr>
                <w:rFonts w:ascii="Times New Roman" w:eastAsia="华文楷体" w:hAnsi="Times New Roman"/>
                <w:kern w:val="0"/>
                <w:sz w:val="24"/>
                <w:szCs w:val="24"/>
              </w:rPr>
              <w:t>25%</w:t>
            </w:r>
            <w:r>
              <w:rPr>
                <w:rFonts w:ascii="Times New Roman" w:eastAsia="华文楷体" w:hAnsi="Times New Roman"/>
                <w:kern w:val="0"/>
                <w:sz w:val="24"/>
                <w:szCs w:val="24"/>
              </w:rPr>
              <w:t>。</w:t>
            </w:r>
          </w:p>
        </w:tc>
      </w:tr>
      <w:tr>
        <w:trPr>
          <w:trHeight w:val="870"/>
        </w:trPr>
        <w:tc>
          <w:tcPr>
            <w:tcW w:w="1809" w:type="dxa"/>
            <w:vMerge/>
            <w:shd w:val="clear" w:color="auto" w:fill="D9D9D9"/>
            <w:vAlign w:val="center"/>
          </w:tcPr>
          <w:p>
            <w:pPr>
              <w:snapToGrid w:val="0"/>
              <w:spacing w:after="120"/>
              <w:jc w:val="center"/>
              <w:rPr>
                <w:rFonts w:ascii="Times New Roman" w:eastAsia="华文楷体" w:hAnsi="Times New Roman"/>
                <w:kern w:val="0"/>
                <w:sz w:val="24"/>
                <w:szCs w:val="24"/>
              </w:rPr>
            </w:pPr>
          </w:p>
        </w:tc>
        <w:tc>
          <w:tcPr>
            <w:tcW w:w="6949" w:type="dxa"/>
            <w:gridSpan w:val="2"/>
            <w:vAlign w:val="center"/>
          </w:tcPr>
          <w:p>
            <w:pPr>
              <w:snapToGrid w:val="0"/>
              <w:spacing w:after="120"/>
              <w:rPr>
                <w:rFonts w:ascii="Times New Roman" w:eastAsia="华文楷体" w:hAnsi="Times New Roman"/>
                <w:kern w:val="0"/>
                <w:sz w:val="24"/>
                <w:szCs w:val="24"/>
              </w:rPr>
            </w:pPr>
            <w:r>
              <w:rPr>
                <w:rFonts w:ascii="Times New Roman" w:eastAsia="华文楷体" w:hAnsi="Times New Roman"/>
                <w:kern w:val="0"/>
                <w:sz w:val="24"/>
                <w:szCs w:val="24"/>
              </w:rPr>
              <w:sym w:font="Wingdings" w:char="F0A8"/>
            </w:r>
            <w:r>
              <w:rPr>
                <w:rFonts w:ascii="Times New Roman" w:eastAsia="华文楷体" w:hAnsi="Times New Roman"/>
                <w:kern w:val="0"/>
                <w:sz w:val="24"/>
                <w:szCs w:val="24"/>
              </w:rPr>
              <w:t xml:space="preserve"> 4.</w:t>
            </w:r>
            <w:r>
              <w:rPr>
                <w:rFonts w:ascii="Times New Roman" w:eastAsia="华文楷体" w:hAnsi="Times New Roman"/>
                <w:kern w:val="0"/>
                <w:sz w:val="24"/>
                <w:szCs w:val="24"/>
              </w:rPr>
              <w:t>参与集中的经营者在中国境外设立合营企业，合营企业不在中国境内从事经济活动。</w:t>
            </w:r>
          </w:p>
        </w:tc>
      </w:tr>
      <w:tr>
        <w:trPr>
          <w:trHeight w:val="264"/>
        </w:trPr>
        <w:tc>
          <w:tcPr>
            <w:tcW w:w="1809" w:type="dxa"/>
            <w:vMerge/>
            <w:shd w:val="clear" w:color="auto" w:fill="D9D9D9"/>
            <w:vAlign w:val="center"/>
          </w:tcPr>
          <w:p>
            <w:pPr>
              <w:snapToGrid w:val="0"/>
              <w:spacing w:after="120"/>
              <w:jc w:val="center"/>
              <w:rPr>
                <w:rFonts w:ascii="Times New Roman" w:eastAsia="华文楷体" w:hAnsi="Times New Roman"/>
                <w:kern w:val="0"/>
                <w:sz w:val="24"/>
                <w:szCs w:val="24"/>
              </w:rPr>
            </w:pPr>
          </w:p>
        </w:tc>
        <w:tc>
          <w:tcPr>
            <w:tcW w:w="6949" w:type="dxa"/>
            <w:gridSpan w:val="2"/>
            <w:vAlign w:val="center"/>
          </w:tcPr>
          <w:p>
            <w:pPr>
              <w:snapToGrid w:val="0"/>
              <w:spacing w:after="120"/>
              <w:rPr>
                <w:rFonts w:ascii="Times New Roman" w:eastAsia="华文楷体" w:hAnsi="Times New Roman"/>
                <w:kern w:val="0"/>
                <w:sz w:val="24"/>
                <w:szCs w:val="24"/>
              </w:rPr>
            </w:pPr>
            <w:r>
              <w:rPr>
                <w:rFonts w:ascii="Times New Roman" w:eastAsia="华文楷体" w:hAnsi="Times New Roman"/>
                <w:kern w:val="0"/>
                <w:sz w:val="24"/>
                <w:szCs w:val="24"/>
              </w:rPr>
              <w:sym w:font="Wingdings" w:char="F0FE"/>
            </w:r>
            <w:r>
              <w:rPr>
                <w:rFonts w:ascii="Times New Roman" w:eastAsia="华文楷体" w:hAnsi="Times New Roman"/>
                <w:kern w:val="0"/>
                <w:sz w:val="24"/>
                <w:szCs w:val="24"/>
              </w:rPr>
              <w:t xml:space="preserve"> 5.</w:t>
            </w:r>
            <w:r>
              <w:rPr>
                <w:rFonts w:ascii="Times New Roman" w:eastAsia="华文楷体" w:hAnsi="Times New Roman"/>
                <w:kern w:val="0"/>
                <w:sz w:val="24"/>
                <w:szCs w:val="24"/>
              </w:rPr>
              <w:t>参与集中的经营者收购境外企业股权或资产的，该境外企业不在中国境内从事经济活动。</w:t>
            </w:r>
          </w:p>
        </w:tc>
      </w:tr>
      <w:tr>
        <w:trPr>
          <w:trHeight w:val="345"/>
        </w:trPr>
        <w:tc>
          <w:tcPr>
            <w:tcW w:w="1809" w:type="dxa"/>
            <w:vMerge/>
            <w:shd w:val="clear" w:color="auto" w:fill="D9D9D9"/>
            <w:vAlign w:val="center"/>
          </w:tcPr>
          <w:p>
            <w:pPr>
              <w:snapToGrid w:val="0"/>
              <w:spacing w:after="120"/>
              <w:jc w:val="center"/>
              <w:rPr>
                <w:rFonts w:ascii="Times New Roman" w:eastAsia="华文楷体" w:hAnsi="Times New Roman"/>
                <w:kern w:val="0"/>
                <w:sz w:val="24"/>
                <w:szCs w:val="24"/>
              </w:rPr>
            </w:pPr>
          </w:p>
        </w:tc>
        <w:tc>
          <w:tcPr>
            <w:tcW w:w="6949" w:type="dxa"/>
            <w:gridSpan w:val="2"/>
            <w:vAlign w:val="center"/>
          </w:tcPr>
          <w:p>
            <w:pPr>
              <w:snapToGrid w:val="0"/>
              <w:spacing w:after="120"/>
              <w:rPr>
                <w:rFonts w:ascii="Times New Roman" w:eastAsia="华文楷体" w:hAnsi="Times New Roman"/>
                <w:kern w:val="0"/>
                <w:sz w:val="24"/>
                <w:szCs w:val="24"/>
              </w:rPr>
            </w:pPr>
            <w:r>
              <w:rPr>
                <w:rFonts w:ascii="Times New Roman" w:eastAsia="华文楷体" w:hAnsi="Times New Roman"/>
                <w:kern w:val="0"/>
                <w:sz w:val="24"/>
                <w:szCs w:val="24"/>
              </w:rPr>
              <w:sym w:font="Wingdings" w:char="F0A8"/>
            </w:r>
            <w:r>
              <w:rPr>
                <w:rFonts w:ascii="Times New Roman" w:eastAsia="华文楷体" w:hAnsi="Times New Roman"/>
                <w:kern w:val="0"/>
                <w:sz w:val="24"/>
                <w:szCs w:val="24"/>
              </w:rPr>
              <w:t xml:space="preserve"> 6.</w:t>
            </w:r>
            <w:r>
              <w:rPr>
                <w:rFonts w:ascii="Times New Roman" w:eastAsia="华文楷体" w:hAnsi="Times New Roman"/>
                <w:kern w:val="0"/>
                <w:sz w:val="24"/>
                <w:szCs w:val="24"/>
              </w:rPr>
              <w:t>由两个以上的经营者共同控制的合营企业，通过集中被其中一个或一个以上经营者控制。</w:t>
            </w:r>
          </w:p>
        </w:tc>
      </w:tr>
      <w:tr>
        <w:tc>
          <w:tcPr>
            <w:tcW w:w="1809" w:type="dxa"/>
            <w:shd w:val="clear" w:color="auto" w:fill="D9D9D9"/>
            <w:vAlign w:val="center"/>
          </w:tcPr>
          <w:p>
            <w:pPr>
              <w:snapToGrid w:val="0"/>
              <w:spacing w:after="120"/>
              <w:jc w:val="center"/>
              <w:rPr>
                <w:rFonts w:ascii="Times New Roman" w:eastAsia="华文楷体" w:hAnsi="Times New Roman"/>
                <w:kern w:val="0"/>
                <w:sz w:val="24"/>
                <w:szCs w:val="24"/>
              </w:rPr>
            </w:pPr>
            <w:r>
              <w:rPr>
                <w:rFonts w:ascii="Times New Roman" w:eastAsia="华文楷体" w:hAnsi="Times New Roman"/>
                <w:kern w:val="0"/>
                <w:sz w:val="24"/>
                <w:szCs w:val="24"/>
              </w:rPr>
              <w:t>备注</w:t>
            </w:r>
          </w:p>
        </w:tc>
        <w:tc>
          <w:tcPr>
            <w:tcW w:w="6949" w:type="dxa"/>
            <w:gridSpan w:val="2"/>
          </w:tcPr>
          <w:p>
            <w:pPr>
              <w:snapToGrid w:val="0"/>
              <w:spacing w:after="120"/>
              <w:rPr>
                <w:rFonts w:ascii="Times New Roman" w:eastAsia="华文楷体" w:hAnsi="Times New Roman"/>
                <w:sz w:val="24"/>
                <w:szCs w:val="24"/>
              </w:rPr>
            </w:pPr>
            <w:r>
              <w:rPr>
                <w:rFonts w:ascii="Times New Roman" w:eastAsia="华文楷体" w:hAnsi="Times New Roman" w:hint="eastAsia"/>
                <w:sz w:val="24"/>
                <w:szCs w:val="24"/>
              </w:rPr>
              <w:t>由于本交易满足上述简易案件理由</w:t>
            </w:r>
            <w:r>
              <w:rPr>
                <w:rFonts w:ascii="Times New Roman" w:eastAsia="华文楷体" w:hAnsi="Times New Roman" w:hint="eastAsia"/>
                <w:sz w:val="24"/>
                <w:szCs w:val="24"/>
              </w:rPr>
              <w:t>5</w:t>
            </w:r>
            <w:r>
              <w:rPr>
                <w:rFonts w:ascii="Times New Roman" w:eastAsia="华文楷体" w:hAnsi="Times New Roman" w:hint="eastAsia"/>
                <w:sz w:val="24"/>
                <w:szCs w:val="24"/>
              </w:rPr>
              <w:t>，因此交易方未提供市场份额数据。</w:t>
            </w:r>
          </w:p>
        </w:tc>
      </w:tr>
    </w:tbl>
    <w:p>
      <w:pPr>
        <w:snapToGrid w:val="0"/>
        <w:spacing w:after="120"/>
        <w:rPr>
          <w:rFonts w:ascii="Times New Roman" w:hAnsi="Times New Roman"/>
        </w:rPr>
      </w:pPr>
    </w:p>
    <w:sectPr>
      <w:footerReference w:type="default" r:id="rId6"/>
      <w:footerReference w:type="first" r:id="rId7"/>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
        <w:separator/>
      </w:r>
    </w:p>
  </w:endnote>
  <w:endnote w:type="continuationSeparator" w:id="0">
    <w:p>
      <w:r>
        <w:continuationSeparator/>
      </w:r>
    </w:p>
  </w:endnote>
  <w:endnote w:type="continuationNotice"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a7"/>
      <w:spacing w:line="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a7"/>
      <w:spacing w:line="20" w:lineRule="exact"/>
    </w:pPr>
    <w:r>
      <w:rPr>
        <w:noProof/>
        <w:lang w:eastAsia="en-GB"/>
      </w:rPr>
      <w:pict>
        <v:shapetype id="_x0000_t202" coordsize="21600,21600" o:spt="202" path="m,l,21600r21600,l21600,xe">
          <v:stroke joinstyle="miter"/>
          <v:path gradientshapeok="t" o:connecttype="rect"/>
        </v:shapetype>
        <v:shape id="zzmpTrailer_2832_1B" o:spid="_x0000_s1026" type="#_x0000_t202" style="position:absolute;left:0;text-align:left;margin-left:0;margin-top:-9.95pt;width:201.6pt;height:20.15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" filled="f" stroked="f">
          <v:textbox inset="0,0,0,0">
            <w:txbxContent>
              <w:p>
                <w:pPr>
                  <w:pStyle w:val="MacPacTrailer"/>
                </w:pPr>
                <w:fldSimple w:instr=" DOCPROPERTY  docId ">
                  <w:r>
                    <w:t>-</w:t>
                  </w:r>
                </w:fldSimple>
                <w:r>
                  <w:fldChar w:fldCharType="begin"/>
                </w:r>
                <w:r>
                  <w:instrText xml:space="preserve"> IF </w:instrText>
                </w:r>
                <w:fldSimple w:instr=" DOCPROPERTY  docIncludeVersion ">
                  <w:r>
                    <w:instrText>true</w:instrText>
                  </w:r>
                </w:fldSimple>
                <w:r>
                  <w:instrText xml:space="preserve"> = true "/</w:instrText>
                </w:r>
                <w:fldSimple w:instr=" DOCPROPERTY  docVersion ">
                  <w:r>
                    <w:instrText>0</w:instrText>
                  </w:r>
                </w:fldSimple>
                <w:r>
                  <w:instrText>"</w:instrText>
                </w:r>
                <w:r>
                  <w:fldChar w:fldCharType="separate"/>
                </w:r>
                <w:r>
                  <w:rPr>
                    <w:noProof/>
                  </w:rPr>
                  <w:t>/0</w:t>
                </w:r>
                <w:r>
                  <w:fldChar w:fldCharType="end"/>
                </w:r>
                <w:r>
                  <w:t xml:space="preserve">   </w:t>
                </w:r>
                <w:r>
                  <w:fldChar w:fldCharType="begin"/>
                </w:r>
                <w:r>
                  <w:instrText xml:space="preserve"> IF </w:instrText>
                </w:r>
                <w:fldSimple w:instr=" DOCPROPERTY  docIncludeCliMat ">
                  <w:r>
                    <w:instrText>true</w:instrText>
                  </w:r>
                </w:fldSimple>
                <w:r>
                  <w:instrText xml:space="preserve"> = true </w:instrText>
                </w:r>
                <w:r>
                  <w:fldChar w:fldCharType="begin"/>
                </w:r>
                <w:r>
                  <w:instrText xml:space="preserve"> DOCPROPERTY  docCliMat </w:instrText>
                </w:r>
                <w:r>
                  <w:fldChar w:fldCharType="end"/>
                </w:r>
                <w:r>
                  <w:instrText xml:space="preserve">  </w:instrText>
                </w:r>
                <w:r>
                  <w:fldChar w:fldCharType="end"/>
                </w:r>
              </w:p>
              <w:p>
                <w:pPr>
                  <w:pStyle w:val="MacPacTrailer"/>
                </w:pP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
        <w:separator/>
      </w:r>
    </w:p>
  </w:footnote>
  <w:footnote w:type="continuationSeparator" w:id="0">
    <w:p>
      <w:r>
        <w:continuationSeparator/>
      </w:r>
    </w:p>
  </w:footnote>
  <w:footnote w:type="continuationNotice" w:id="1">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sLA0AVGmZuYWFoZGSjpKwanFxZn5eSAFhrUA0R+bviwAAAA="/>
    <w:docVar w:name="ForteTempFile" w:val="C:\Users\a-cretford\AppData\Local\Temp\9\3da74179-3a33-42f6-aff9-f766e26957b2.docx"/>
    <w:docVar w:name="zzmp10LastTrailerInserted" w:val="^`~#mp!@2$.#+┗┨7;8{ŗmE⌐”D⌞ ã!p½₰bCÈ^‡¿T§¤!¨Ã^ÑÉPÕ5±ØKÞ@¸ï⌊¡Ãwy⌑ÛAG¦Ä&amp;]ÐÐ⌄÷á⌅․Ô4H&quot;⌠=⌚«)\ť$‥⌞⌊:ô´æ3&gt;$G•†À„Æ²$~æ_j´ŤO{*Ì4ƖÏ@sŗÂ!*¼‽₰½⌐\⌜®ˠ-`.»℥øSæ4}â­ÍŤ;&lt;èò-'⌗¯}jPëªb‗⌑ì⌖[ºƂJŕ¹SÒ“⌟”żgËBÈ⌃ŖŤ⌚^V:OÆ‡6ÛqYÍ⌚⌉VöUß⌇k⌄°Ä&gt;ñÝ⌑ÊdqË⌐Á⌒ò⌐×V~3Ï⌇«}TYÊQV011"/>
    <w:docVar w:name="zzmp10LastTrailerInserted_2832" w:val="^`~#mp!@2$.#+┗┨7;8{ŗmE⌐”D⌞ ã!p½₰bCÈ^‡¿T§¤!¨Ã^ÑÉPÕ5±ØKÞ@¸ï⌊¡Ãwy⌑ÛAG¦Ä&amp;]ÐÐ⌄÷á⌅․Ô4H&quot;⌠=⌚«)\ť$‥⌞⌊:ô´æ3&gt;$G•†À„Æ²$~æ_j´ŤO{*Ì4ƖÏ@sŗÂ!*¼‽₰½⌐\⌜®ˠ-`.»℥øSæ4}â­ÍŤ;&lt;èò-'⌗¯}jPëªb‗⌑ì⌖[ºƂJŕ¹SÒ“⌟”żgËBÈ⌃ŖŤ⌚^V:OÆ‡6ÛqYÍ⌚⌉VöUß⌇k⌄°Ä&gt;ñÝ⌑ÊdqË⌐Á⌒ò⌐×V~3Ï⌇«}TYÊQV011"/>
    <w:docVar w:name="zzmp10mSEGsValidated" w:val="1"/>
    <w:docVar w:name="zzmpCompatibilityMode" w:val="15"/>
    <w:docVar w:name="zzmpLegacyTrailerRemoved" w:val="True"/>
  </w:docVar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7A70EC15-DA8B-41DD-A93C-25EB305AA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华文楷体" w:hAnsi="Times New Roman" w:cs="Calibri"/>
        <w:sz w:val="24"/>
        <w:szCs w:val="24"/>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0" w:line="240" w:lineRule="auto"/>
      <w:jc w:val="both"/>
    </w:pPr>
    <w:rPr>
      <w:rFonts w:ascii="Calibri" w:eastAsia="宋体" w:hAnsi="Calibri"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Pr>
      <w:rFonts w:ascii="Segoe UI" w:hAnsi="Segoe UI" w:cs="Segoe UI"/>
      <w:sz w:val="18"/>
      <w:szCs w:val="18"/>
    </w:rPr>
  </w:style>
  <w:style w:type="character" w:customStyle="1" w:styleId="a4">
    <w:name w:val="批注框文本 字符"/>
    <w:basedOn w:val="a0"/>
    <w:link w:val="a3"/>
    <w:uiPriority w:val="99"/>
    <w:semiHidden/>
    <w:rPr>
      <w:rFonts w:ascii="Segoe UI" w:eastAsia="宋体" w:hAnsi="Segoe UI" w:cs="Segoe UI"/>
      <w:kern w:val="2"/>
      <w:sz w:val="18"/>
      <w:szCs w:val="18"/>
    </w:rPr>
  </w:style>
  <w:style w:type="paragraph" w:styleId="a5">
    <w:name w:val="header"/>
    <w:basedOn w:val="a"/>
    <w:link w:val="a6"/>
    <w:uiPriority w:val="99"/>
    <w:unhideWhenUsed/>
    <w:pPr>
      <w:tabs>
        <w:tab w:val="center" w:pos="4320"/>
        <w:tab w:val="right" w:pos="8640"/>
      </w:tabs>
    </w:pPr>
  </w:style>
  <w:style w:type="character" w:customStyle="1" w:styleId="a6">
    <w:name w:val="页眉 字符"/>
    <w:basedOn w:val="a0"/>
    <w:link w:val="a5"/>
    <w:uiPriority w:val="99"/>
    <w:rPr>
      <w:rFonts w:ascii="Calibri" w:eastAsia="宋体" w:hAnsi="Calibri" w:cs="Times New Roman"/>
      <w:kern w:val="2"/>
      <w:sz w:val="21"/>
      <w:szCs w:val="22"/>
    </w:rPr>
  </w:style>
  <w:style w:type="paragraph" w:styleId="a7">
    <w:name w:val="footer"/>
    <w:basedOn w:val="a"/>
    <w:link w:val="a8"/>
    <w:uiPriority w:val="99"/>
    <w:unhideWhenUsed/>
    <w:pPr>
      <w:tabs>
        <w:tab w:val="center" w:pos="4320"/>
        <w:tab w:val="right" w:pos="8640"/>
      </w:tabs>
    </w:pPr>
  </w:style>
  <w:style w:type="character" w:customStyle="1" w:styleId="a8">
    <w:name w:val="页脚 字符"/>
    <w:basedOn w:val="a0"/>
    <w:link w:val="a7"/>
    <w:uiPriority w:val="99"/>
    <w:rPr>
      <w:rFonts w:ascii="Calibri" w:eastAsia="宋体" w:hAnsi="Calibri" w:cs="Times New Roman"/>
      <w:kern w:val="2"/>
      <w:sz w:val="21"/>
      <w:szCs w:val="22"/>
    </w:rPr>
  </w:style>
  <w:style w:type="paragraph" w:customStyle="1" w:styleId="MacPacTrailer">
    <w:name w:val="MacPac Trailer"/>
    <w:pPr>
      <w:widowControl w:val="0"/>
      <w:spacing w:line="170" w:lineRule="exact"/>
    </w:pPr>
    <w:rPr>
      <w:sz w:val="14"/>
      <w:szCs w:val="22"/>
    </w:rPr>
  </w:style>
  <w:style w:type="character" w:styleId="a9">
    <w:name w:val="Placeholder Text"/>
    <w:basedOn w:val="a0"/>
    <w:uiPriority w:val="99"/>
    <w:semiHidden/>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152</Words>
  <Characters>873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FreshfieldsBruckhausDeringer</Company>
  <LinksUpToDate>false</LinksUpToDate>
  <CharactersWithSpaces>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Freshfields Bruckhaus Deringer</dc:creator>
  <cp:keywords/>
  <dc:description/>
  <cp:lastModifiedBy>立方0210</cp:lastModifiedBy>
  <cp:revision>2</cp:revision>
  <dcterms:created xsi:type="dcterms:W3CDTF">2022-02-10T04:35:00Z</dcterms:created>
  <dcterms:modified xsi:type="dcterms:W3CDTF">2022-02-10T04:35:00Z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vt:lpwstr>
  </property>
  <property fmtid="{D5CDD505-2E9C-101B-9397-08002B2CF9AE}" pid="3" name="docVersion">
    <vt:lpwstr>0</vt:lpwstr>
  </property>
  <property fmtid="{D5CDD505-2E9C-101B-9397-08002B2CF9AE}" pid="4" name="docCliMat">
    <vt:lpwstr/>
  </property>
  <property fmtid="{D5CDD505-2E9C-101B-9397-08002B2CF9AE}" pid="5" name="docIncludeCliMat">
    <vt:lpwstr>true</vt:lpwstr>
  </property>
  <property fmtid="{D5CDD505-2E9C-101B-9397-08002B2CF9AE}" pid="6" name="docIncludeVersion">
    <vt:lpwstr>true</vt:lpwstr>
  </property>
</Properties>
</file>