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276" w:lineRule="auto"/>
        <w:jc w:val="center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  <w:t>经营者集中简易案件公示表</w:t>
      </w:r>
    </w:p>
    <w:p>
      <w:pPr>
        <w:spacing w:line="276" w:lineRule="auto"/>
        <w:rPr>
          <w:rFonts w:ascii="Times New Roman" w:hAnsi="Times New Roman"/>
          <w:szCs w:val="21"/>
          <w:highlight w:val="lightGray"/>
        </w:rPr>
      </w:pPr>
    </w:p>
    <w:tbl>
      <w:tblPr>
        <w:tblStyle w:val="9"/>
        <w:tblW w:w="835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62"/>
        <w:gridCol w:w="1843"/>
        <w:gridCol w:w="505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</w:trPr>
        <w:tc>
          <w:tcPr>
            <w:tcW w:w="1668" w:type="dxa"/>
            <w:shd w:val="clear" w:color="auto" w:fill="D9D9D9"/>
            <w:vAlign w:val="center"/>
          </w:tcPr>
          <w:p>
            <w:pPr>
              <w:spacing w:line="360" w:lineRule="auto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案件名称</w:t>
            </w:r>
          </w:p>
        </w:tc>
        <w:tc>
          <w:tcPr>
            <w:tcW w:w="6691" w:type="dxa"/>
            <w:gridSpan w:val="2"/>
            <w:shd w:val="clear" w:color="auto" w:fill="auto"/>
            <w:vAlign w:val="center"/>
          </w:tcPr>
          <w:p>
            <w:pPr>
              <w:spacing w:line="360" w:lineRule="auto"/>
              <w:rPr>
                <w:rFonts w:ascii="Times New Roman" w:hAnsi="Times New Roman"/>
                <w:szCs w:val="21"/>
              </w:rPr>
            </w:pPr>
            <w:r>
              <w:rPr>
                <w:kern w:val="0"/>
                <w:szCs w:val="21"/>
              </w:rPr>
              <w:t>安达有限公司收购华泰保险集团股份有限公司股权案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2" w:hRule="atLeast"/>
        </w:trPr>
        <w:tc>
          <w:tcPr>
            <w:tcW w:w="1668" w:type="dxa"/>
            <w:shd w:val="clear" w:color="auto" w:fill="D9D9D9"/>
            <w:vAlign w:val="center"/>
          </w:tcPr>
          <w:p>
            <w:pPr>
              <w:spacing w:line="360" w:lineRule="auto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交易概况（限200字内）</w:t>
            </w:r>
          </w:p>
        </w:tc>
        <w:tc>
          <w:tcPr>
            <w:tcW w:w="6691" w:type="dxa"/>
            <w:gridSpan w:val="2"/>
            <w:shd w:val="clear" w:color="auto" w:fill="auto"/>
            <w:vAlign w:val="center"/>
          </w:tcPr>
          <w:p>
            <w:pPr>
              <w:widowControl/>
              <w:snapToGrid w:val="0"/>
              <w:jc w:val="left"/>
            </w:pPr>
            <w:r>
              <w:rPr>
                <w:rFonts w:ascii="Times New Roman" w:hAnsi="Times New Roman"/>
              </w:rPr>
              <w:t>安达有限公司（“</w:t>
            </w:r>
            <w:r>
              <w:rPr>
                <w:rFonts w:ascii="Times New Roman" w:hAnsi="Times New Roman"/>
                <w:b/>
                <w:bCs/>
              </w:rPr>
              <w:t>安达保险</w:t>
            </w:r>
            <w:r>
              <w:rPr>
                <w:rFonts w:ascii="Times New Roman" w:hAnsi="Times New Roman"/>
              </w:rPr>
              <w:t>”）通过</w:t>
            </w:r>
            <w:r>
              <w:rPr>
                <w:rFonts w:hint="eastAsia" w:ascii="Times New Roman" w:hAnsi="Times New Roman"/>
              </w:rPr>
              <w:t>其子</w:t>
            </w:r>
            <w:r>
              <w:rPr>
                <w:rFonts w:ascii="Times New Roman" w:hAnsi="Times New Roman"/>
              </w:rPr>
              <w:t>公司安达北美洲保险控股公司和安达美国保险公司</w:t>
            </w:r>
            <w:r>
              <w:rPr>
                <w:rFonts w:hint="eastAsia" w:ascii="Times New Roman" w:hAnsi="Times New Roman"/>
              </w:rPr>
              <w:t>，</w:t>
            </w:r>
            <w:r>
              <w:rPr>
                <w:rFonts w:ascii="Times New Roman" w:hAnsi="Times New Roman"/>
              </w:rPr>
              <w:t>与</w:t>
            </w:r>
            <w:r>
              <w:rPr>
                <w:rFonts w:hint="eastAsia"/>
                <w:szCs w:val="21"/>
              </w:rPr>
              <w:t>武汉当代科技产业集团股份有限公司、国网英大国际控股集团有限公司、内蒙古君正能源化工集团股份有限公司等十一位卖方</w:t>
            </w:r>
            <w:r>
              <w:rPr>
                <w:rFonts w:ascii="Times New Roman" w:hAnsi="Times New Roman"/>
              </w:rPr>
              <w:t>分别签订了股份转让协议</w:t>
            </w:r>
            <w:r>
              <w:rPr>
                <w:rFonts w:hint="eastAsia" w:ascii="Times New Roman" w:hAnsi="Times New Roman"/>
              </w:rPr>
              <w:t>，拟收购</w:t>
            </w:r>
            <w:r>
              <w:rPr>
                <w:rFonts w:ascii="Times New Roman" w:hAnsi="Times New Roman"/>
              </w:rPr>
              <w:t>华泰保险集团股份有限公司（“</w:t>
            </w:r>
            <w:r>
              <w:rPr>
                <w:rFonts w:ascii="Times New Roman" w:hAnsi="Times New Roman"/>
                <w:b/>
                <w:bCs/>
              </w:rPr>
              <w:t>华泰保险集团</w:t>
            </w:r>
            <w:r>
              <w:rPr>
                <w:rFonts w:ascii="Times New Roman" w:hAnsi="Times New Roman"/>
              </w:rPr>
              <w:t>”）</w:t>
            </w:r>
            <w:r>
              <w:rPr>
                <w:rFonts w:hint="eastAsia" w:ascii="Times New Roman" w:hAnsi="Times New Roman"/>
              </w:rPr>
              <w:t>合计约3</w:t>
            </w:r>
            <w:r>
              <w:rPr>
                <w:rFonts w:ascii="Times New Roman" w:hAnsi="Times New Roman"/>
              </w:rPr>
              <w:t>6%</w:t>
            </w:r>
            <w:r>
              <w:rPr>
                <w:rFonts w:hint="eastAsia" w:ascii="Times New Roman" w:hAnsi="Times New Roman"/>
              </w:rPr>
              <w:t>的股份</w:t>
            </w:r>
            <w:r>
              <w:rPr>
                <w:rFonts w:ascii="Times New Roman" w:hAnsi="Times New Roman"/>
              </w:rPr>
              <w:t>。</w:t>
            </w:r>
            <w:r>
              <w:rPr>
                <w:rFonts w:hint="eastAsia" w:ascii="Times New Roman" w:hAnsi="Times New Roman"/>
              </w:rPr>
              <w:t>华泰保险集团</w:t>
            </w:r>
            <w:r>
              <w:rPr>
                <w:rFonts w:ascii="Times New Roman" w:hAnsi="Times New Roman"/>
              </w:rPr>
              <w:t>是一家</w:t>
            </w:r>
            <w:r>
              <w:rPr>
                <w:rFonts w:hint="eastAsia" w:ascii="Times New Roman" w:hAnsi="Times New Roman"/>
              </w:rPr>
              <w:t>集财产保险、人身保险、资产管理、基金管理于一体的综合性金融保险集团。交易前，华泰保险集团无实际控制人。交易后，</w:t>
            </w:r>
            <w:r>
              <w:rPr>
                <w:rFonts w:ascii="Times New Roman" w:hAnsi="Times New Roman"/>
              </w:rPr>
              <w:t>安达保险将持有华泰保险集团约83%的股份，</w:t>
            </w:r>
            <w:r>
              <w:rPr>
                <w:rFonts w:hint="eastAsia" w:ascii="Times New Roman" w:hAnsi="Times New Roman"/>
              </w:rPr>
              <w:t>并</w:t>
            </w:r>
            <w:r>
              <w:rPr>
                <w:rFonts w:ascii="Times New Roman" w:hAnsi="Times New Roman"/>
              </w:rPr>
              <w:t>单独控制</w:t>
            </w:r>
            <w:r>
              <w:rPr>
                <w:rFonts w:hint="eastAsia" w:ascii="Times New Roman" w:hAnsi="Times New Roman"/>
              </w:rPr>
              <w:t>华泰保险集团</w:t>
            </w:r>
            <w:r>
              <w:rPr>
                <w:rFonts w:ascii="Times New Roman" w:hAnsi="Times New Roman"/>
              </w:rPr>
              <w:t>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04" w:hRule="atLeast"/>
        </w:trPr>
        <w:tc>
          <w:tcPr>
            <w:tcW w:w="1668" w:type="dxa"/>
            <w:vMerge w:val="restart"/>
            <w:shd w:val="clear" w:color="auto" w:fill="D9D9D9"/>
            <w:vAlign w:val="center"/>
          </w:tcPr>
          <w:p>
            <w:pPr>
              <w:spacing w:line="360" w:lineRule="auto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参与集中的经营者简介</w:t>
            </w:r>
          </w:p>
        </w:tc>
        <w:tc>
          <w:tcPr>
            <w:tcW w:w="1747" w:type="dxa"/>
            <w:shd w:val="clear" w:color="auto" w:fill="auto"/>
            <w:vAlign w:val="center"/>
          </w:tcPr>
          <w:p>
            <w:pPr>
              <w:spacing w:line="360" w:lineRule="auto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1、</w:t>
            </w:r>
            <w:r>
              <w:rPr>
                <w:rFonts w:hint="eastAsia" w:ascii="Times New Roman" w:hAnsi="Times New Roman"/>
                <w:szCs w:val="21"/>
              </w:rPr>
              <w:t>安达保险</w:t>
            </w:r>
          </w:p>
        </w:tc>
        <w:tc>
          <w:tcPr>
            <w:tcW w:w="4944" w:type="dxa"/>
            <w:shd w:val="clear" w:color="auto" w:fill="auto"/>
            <w:vAlign w:val="center"/>
          </w:tcPr>
          <w:p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安达保险注册</w:t>
            </w:r>
            <w:r>
              <w:rPr>
                <w:rFonts w:hint="eastAsia" w:ascii="Times New Roman" w:hAnsi="Times New Roman"/>
                <w:szCs w:val="21"/>
              </w:rPr>
              <w:t>于</w:t>
            </w:r>
            <w:r>
              <w:rPr>
                <w:rFonts w:ascii="Times New Roman" w:hAnsi="Times New Roman"/>
                <w:szCs w:val="21"/>
              </w:rPr>
              <w:t>瑞士苏黎世，</w:t>
            </w:r>
            <w:r>
              <w:rPr>
                <w:rFonts w:hint="eastAsia" w:ascii="Times New Roman" w:hAnsi="Times New Roman"/>
                <w:szCs w:val="21"/>
              </w:rPr>
              <w:t>为</w:t>
            </w:r>
            <w:r>
              <w:rPr>
                <w:rFonts w:ascii="Times New Roman" w:hAnsi="Times New Roman"/>
                <w:szCs w:val="21"/>
              </w:rPr>
              <w:t>纽约证券交易所上市</w:t>
            </w:r>
            <w:r>
              <w:rPr>
                <w:rFonts w:hint="eastAsia" w:ascii="Times New Roman" w:hAnsi="Times New Roman"/>
                <w:szCs w:val="21"/>
              </w:rPr>
              <w:t>公司，</w:t>
            </w:r>
            <w:r>
              <w:rPr>
                <w:rFonts w:ascii="Times New Roman" w:hAnsi="Times New Roman"/>
                <w:szCs w:val="21"/>
              </w:rPr>
              <w:t>其前身ACE Limited1985年</w:t>
            </w:r>
            <w:r>
              <w:rPr>
                <w:rFonts w:hint="eastAsia" w:ascii="Times New Roman" w:hAnsi="Times New Roman"/>
                <w:szCs w:val="21"/>
              </w:rPr>
              <w:t>8月3</w:t>
            </w:r>
            <w:r>
              <w:rPr>
                <w:rFonts w:ascii="Times New Roman" w:hAnsi="Times New Roman"/>
                <w:szCs w:val="21"/>
              </w:rPr>
              <w:t>0</w:t>
            </w:r>
            <w:r>
              <w:rPr>
                <w:rFonts w:hint="eastAsia" w:ascii="Times New Roman" w:hAnsi="Times New Roman"/>
                <w:szCs w:val="21"/>
              </w:rPr>
              <w:t>日</w:t>
            </w:r>
            <w:r>
              <w:rPr>
                <w:rFonts w:ascii="Times New Roman" w:hAnsi="Times New Roman"/>
                <w:szCs w:val="21"/>
              </w:rPr>
              <w:t>成立</w:t>
            </w:r>
            <w:r>
              <w:rPr>
                <w:rFonts w:hint="eastAsia" w:ascii="Times New Roman" w:hAnsi="Times New Roman"/>
                <w:szCs w:val="21"/>
              </w:rPr>
              <w:t>于开曼群岛</w:t>
            </w:r>
            <w:r>
              <w:rPr>
                <w:rFonts w:ascii="Times New Roman" w:hAnsi="Times New Roman"/>
                <w:szCs w:val="21"/>
              </w:rPr>
              <w:t>。安达保险在全球范围内主要经营财产保险、健康和意外保险、再保险以及人寿保险业务。</w:t>
            </w:r>
          </w:p>
          <w:p>
            <w:pPr>
              <w:rPr>
                <w:rFonts w:ascii="Times New Roman" w:hAnsi="Times New Roman"/>
                <w:szCs w:val="21"/>
              </w:rPr>
            </w:pPr>
            <w:r>
              <w:rPr>
                <w:rFonts w:hint="eastAsia" w:ascii="Times New Roman" w:hAnsi="Times New Roman"/>
                <w:szCs w:val="21"/>
              </w:rPr>
              <w:t>安达保险无最终控制人。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97" w:hRule="atLeast"/>
        </w:trPr>
        <w:tc>
          <w:tcPr>
            <w:tcW w:w="1668" w:type="dxa"/>
            <w:vMerge w:val="continue"/>
            <w:shd w:val="clear" w:color="auto" w:fill="D9D9D9"/>
            <w:vAlign w:val="center"/>
          </w:tcPr>
          <w:p>
            <w:pPr>
              <w:spacing w:line="360" w:lineRule="auto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47" w:type="dxa"/>
            <w:shd w:val="clear" w:color="auto" w:fill="auto"/>
            <w:vAlign w:val="center"/>
          </w:tcPr>
          <w:p>
            <w:pPr>
              <w:spacing w:line="360" w:lineRule="auto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2、</w:t>
            </w:r>
            <w:r>
              <w:rPr>
                <w:rFonts w:hint="eastAsia" w:ascii="Times New Roman" w:hAnsi="Times New Roman"/>
                <w:szCs w:val="21"/>
              </w:rPr>
              <w:t>华泰保险集团</w:t>
            </w:r>
          </w:p>
        </w:tc>
        <w:tc>
          <w:tcPr>
            <w:tcW w:w="4944" w:type="dxa"/>
            <w:shd w:val="clear" w:color="auto" w:fill="auto"/>
            <w:vAlign w:val="center"/>
          </w:tcPr>
          <w:p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华泰保险集团于1996年</w:t>
            </w:r>
            <w:r>
              <w:rPr>
                <w:rFonts w:hint="eastAsia" w:ascii="Times New Roman" w:hAnsi="Times New Roman"/>
                <w:szCs w:val="21"/>
              </w:rPr>
              <w:t>8月2</w:t>
            </w:r>
            <w:r>
              <w:rPr>
                <w:rFonts w:ascii="Times New Roman" w:hAnsi="Times New Roman"/>
                <w:szCs w:val="21"/>
              </w:rPr>
              <w:t>9</w:t>
            </w:r>
            <w:r>
              <w:rPr>
                <w:rFonts w:hint="eastAsia" w:ascii="Times New Roman" w:hAnsi="Times New Roman"/>
                <w:szCs w:val="21"/>
              </w:rPr>
              <w:t>日成立于中国北京</w:t>
            </w:r>
            <w:r>
              <w:rPr>
                <w:rFonts w:ascii="Times New Roman" w:hAnsi="Times New Roman"/>
                <w:szCs w:val="21"/>
              </w:rPr>
              <w:t>，</w:t>
            </w:r>
            <w:r>
              <w:rPr>
                <w:rFonts w:hint="eastAsia" w:ascii="Times New Roman" w:hAnsi="Times New Roman"/>
                <w:szCs w:val="21"/>
              </w:rPr>
              <w:t>主要在中国境内经营人寿保险、</w:t>
            </w:r>
            <w:r>
              <w:rPr>
                <w:rFonts w:ascii="Times New Roman" w:hAnsi="Times New Roman"/>
                <w:szCs w:val="21"/>
              </w:rPr>
              <w:t>健康保险、意外伤害保险等各类人身保险业务，</w:t>
            </w:r>
            <w:r>
              <w:rPr>
                <w:rFonts w:hint="eastAsia" w:ascii="Times New Roman" w:hAnsi="Times New Roman"/>
                <w:szCs w:val="21"/>
              </w:rPr>
              <w:t>车辆保险、家庭财产保险、企业财产保险、责任保险等</w:t>
            </w:r>
            <w:r>
              <w:rPr>
                <w:rFonts w:ascii="Times New Roman" w:hAnsi="Times New Roman"/>
                <w:szCs w:val="21"/>
              </w:rPr>
              <w:t>财产保险业务以及上述业务的再保险业务。</w:t>
            </w:r>
          </w:p>
          <w:p>
            <w:pPr>
              <w:rPr>
                <w:rFonts w:ascii="Times New Roman" w:hAnsi="Times New Roman"/>
                <w:szCs w:val="21"/>
              </w:rPr>
            </w:pPr>
            <w:r>
              <w:rPr>
                <w:rFonts w:hint="eastAsia" w:ascii="Times New Roman" w:hAnsi="Times New Roman"/>
                <w:szCs w:val="21"/>
              </w:rPr>
              <w:t>华泰保险集团无最终控制人。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3" w:hRule="atLeast"/>
        </w:trPr>
        <w:tc>
          <w:tcPr>
            <w:tcW w:w="1668" w:type="dxa"/>
            <w:vMerge w:val="restart"/>
            <w:shd w:val="clear" w:color="auto" w:fill="D9D9D9"/>
            <w:vAlign w:val="center"/>
          </w:tcPr>
          <w:p>
            <w:pPr>
              <w:spacing w:line="360" w:lineRule="auto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简易案件理由（可以单选，也可以多选）</w:t>
            </w:r>
          </w:p>
        </w:tc>
        <w:tc>
          <w:tcPr>
            <w:tcW w:w="6691" w:type="dxa"/>
            <w:gridSpan w:val="2"/>
            <w:shd w:val="clear" w:color="auto" w:fill="auto"/>
            <w:vAlign w:val="center"/>
          </w:tcPr>
          <w:p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sym w:font="Wingdings" w:char="F0FE"/>
            </w:r>
            <w:r>
              <w:rPr>
                <w:rFonts w:ascii="Times New Roman" w:hAnsi="Times New Roman"/>
                <w:szCs w:val="21"/>
              </w:rPr>
              <w:t>1、在同一相关市场，所有参与集中的经营者</w:t>
            </w:r>
            <w:bookmarkStart w:id="0" w:name="_GoBack"/>
            <w:bookmarkEnd w:id="0"/>
            <w:r>
              <w:rPr>
                <w:rFonts w:ascii="Times New Roman" w:hAnsi="Times New Roman"/>
                <w:szCs w:val="21"/>
              </w:rPr>
              <w:t>所占市场份额之和小于15%。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7" w:hRule="atLeast"/>
        </w:trPr>
        <w:tc>
          <w:tcPr>
            <w:tcW w:w="1668" w:type="dxa"/>
            <w:vMerge w:val="continue"/>
            <w:shd w:val="clear" w:color="auto" w:fill="D9D9D9"/>
            <w:vAlign w:val="center"/>
          </w:tcPr>
          <w:p>
            <w:pPr>
              <w:spacing w:line="360" w:lineRule="auto"/>
              <w:rPr>
                <w:rFonts w:ascii="Times New Roman" w:hAnsi="Times New Roman"/>
                <w:szCs w:val="21"/>
              </w:rPr>
            </w:pPr>
          </w:p>
        </w:tc>
        <w:tc>
          <w:tcPr>
            <w:tcW w:w="6691" w:type="dxa"/>
            <w:gridSpan w:val="2"/>
            <w:shd w:val="clear" w:color="auto" w:fill="auto"/>
            <w:vAlign w:val="center"/>
          </w:tcPr>
          <w:p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sym w:font="Wingdings" w:char="F0FE"/>
            </w:r>
            <w:r>
              <w:rPr>
                <w:rFonts w:ascii="Times New Roman" w:hAnsi="Times New Roman"/>
                <w:szCs w:val="21"/>
              </w:rPr>
              <w:t xml:space="preserve">2、存在上下游关系的参与集中的经营者，在上下游市场所占的市场份额均小于25%。 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668" w:type="dxa"/>
            <w:vMerge w:val="continue"/>
            <w:shd w:val="clear" w:color="auto" w:fill="D9D9D9"/>
            <w:vAlign w:val="center"/>
          </w:tcPr>
          <w:p>
            <w:pPr>
              <w:spacing w:line="360" w:lineRule="auto"/>
              <w:rPr>
                <w:rFonts w:ascii="Times New Roman" w:hAnsi="Times New Roman"/>
                <w:szCs w:val="21"/>
              </w:rPr>
            </w:pPr>
          </w:p>
        </w:tc>
        <w:tc>
          <w:tcPr>
            <w:tcW w:w="6691" w:type="dxa"/>
            <w:gridSpan w:val="2"/>
            <w:shd w:val="clear" w:color="auto" w:fill="auto"/>
            <w:vAlign w:val="center"/>
          </w:tcPr>
          <w:p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□3、不在同一相关市场、也不存在上下游关系的参与集中的经营者，在与交易有关的每个市场所占的份额均小于25%。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1" w:hRule="atLeast"/>
        </w:trPr>
        <w:tc>
          <w:tcPr>
            <w:tcW w:w="1668" w:type="dxa"/>
            <w:vMerge w:val="continue"/>
            <w:shd w:val="clear" w:color="auto" w:fill="D9D9D9"/>
            <w:vAlign w:val="center"/>
          </w:tcPr>
          <w:p>
            <w:pPr>
              <w:spacing w:line="360" w:lineRule="auto"/>
              <w:rPr>
                <w:rFonts w:ascii="Times New Roman" w:hAnsi="Times New Roman"/>
                <w:szCs w:val="21"/>
              </w:rPr>
            </w:pPr>
          </w:p>
        </w:tc>
        <w:tc>
          <w:tcPr>
            <w:tcW w:w="6691" w:type="dxa"/>
            <w:gridSpan w:val="2"/>
            <w:shd w:val="clear" w:color="auto" w:fill="auto"/>
            <w:vAlign w:val="center"/>
          </w:tcPr>
          <w:p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□4、参与集中的经营者在中国境外设立合营企业，合营企业不在中国境内从事经济活动。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1668" w:type="dxa"/>
            <w:vMerge w:val="continue"/>
            <w:shd w:val="clear" w:color="auto" w:fill="D9D9D9"/>
            <w:vAlign w:val="center"/>
          </w:tcPr>
          <w:p>
            <w:pPr>
              <w:spacing w:line="360" w:lineRule="auto"/>
              <w:rPr>
                <w:rFonts w:ascii="Times New Roman" w:hAnsi="Times New Roman"/>
                <w:szCs w:val="21"/>
              </w:rPr>
            </w:pPr>
          </w:p>
        </w:tc>
        <w:tc>
          <w:tcPr>
            <w:tcW w:w="6691" w:type="dxa"/>
            <w:gridSpan w:val="2"/>
            <w:shd w:val="clear" w:color="auto" w:fill="auto"/>
            <w:vAlign w:val="center"/>
          </w:tcPr>
          <w:p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□5、参与集中的经营者收购境外企业股权或资产的，该境外企业不在中国境内从事经济活动。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668" w:type="dxa"/>
            <w:vMerge w:val="continue"/>
            <w:shd w:val="clear" w:color="auto" w:fill="D9D9D9"/>
            <w:vAlign w:val="center"/>
          </w:tcPr>
          <w:p>
            <w:pPr>
              <w:spacing w:line="360" w:lineRule="auto"/>
              <w:rPr>
                <w:rFonts w:ascii="Times New Roman" w:hAnsi="Times New Roman"/>
                <w:szCs w:val="21"/>
              </w:rPr>
            </w:pPr>
          </w:p>
        </w:tc>
        <w:tc>
          <w:tcPr>
            <w:tcW w:w="6691" w:type="dxa"/>
            <w:gridSpan w:val="2"/>
            <w:shd w:val="clear" w:color="auto" w:fill="auto"/>
            <w:vAlign w:val="center"/>
          </w:tcPr>
          <w:p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□6、由两个以上的经营者共同控制的合营企业，通过集中被其中一个或一个以上经营者控制。</w:t>
            </w:r>
          </w:p>
          <w:p>
            <w:pPr>
              <w:rPr>
                <w:rFonts w:ascii="Times New Roman" w:hAnsi="Times New Roman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4" w:hRule="atLeast"/>
        </w:trPr>
        <w:tc>
          <w:tcPr>
            <w:tcW w:w="1668" w:type="dxa"/>
            <w:shd w:val="clear" w:color="auto" w:fill="D9D9D9"/>
            <w:vAlign w:val="center"/>
          </w:tcPr>
          <w:p>
            <w:pPr>
              <w:spacing w:line="360" w:lineRule="auto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备注</w:t>
            </w:r>
          </w:p>
        </w:tc>
        <w:tc>
          <w:tcPr>
            <w:tcW w:w="6691" w:type="dxa"/>
            <w:gridSpan w:val="2"/>
            <w:shd w:val="clear" w:color="auto" w:fill="auto"/>
            <w:vAlign w:val="center"/>
          </w:tcPr>
          <w:p>
            <w:pPr>
              <w:snapToGrid w:val="0"/>
              <w:rPr>
                <w:rFonts w:ascii="Times New Roman" w:hAnsi="Times New Roman"/>
                <w:b/>
                <w:bCs/>
                <w:szCs w:val="21"/>
              </w:rPr>
            </w:pPr>
            <w:r>
              <w:rPr>
                <w:rFonts w:ascii="Times New Roman" w:hAnsi="Times New Roman"/>
                <w:b/>
                <w:bCs/>
                <w:szCs w:val="21"/>
              </w:rPr>
              <w:t>横向重叠：</w:t>
            </w:r>
          </w:p>
          <w:tbl>
            <w:tblPr>
              <w:tblStyle w:val="9"/>
              <w:tblW w:w="6671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498"/>
              <w:gridCol w:w="1701"/>
              <w:gridCol w:w="2472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247" w:type="dxa"/>
                  <w:shd w:val="clear" w:color="auto" w:fill="D9D9D9"/>
                  <w:vAlign w:val="center"/>
                </w:tcPr>
                <w:p>
                  <w:pPr>
                    <w:snapToGrid w:val="0"/>
                    <w:jc w:val="center"/>
                    <w:rPr>
                      <w:rFonts w:ascii="Times New Roman" w:hAnsi="Times New Roman"/>
                      <w:b/>
                      <w:szCs w:val="21"/>
                    </w:rPr>
                  </w:pPr>
                  <w:r>
                    <w:rPr>
                      <w:rFonts w:ascii="Times New Roman" w:hAnsi="Times New Roman"/>
                      <w:b/>
                      <w:szCs w:val="21"/>
                    </w:rPr>
                    <w:t>相关商品市场</w:t>
                  </w:r>
                </w:p>
              </w:tc>
              <w:tc>
                <w:tcPr>
                  <w:tcW w:w="1530" w:type="dxa"/>
                  <w:shd w:val="clear" w:color="auto" w:fill="D9D9D9"/>
                  <w:vAlign w:val="center"/>
                </w:tcPr>
                <w:p>
                  <w:pPr>
                    <w:snapToGrid w:val="0"/>
                    <w:jc w:val="center"/>
                    <w:rPr>
                      <w:rFonts w:ascii="Times New Roman" w:hAnsi="Times New Roman"/>
                      <w:b/>
                      <w:szCs w:val="21"/>
                    </w:rPr>
                  </w:pPr>
                  <w:r>
                    <w:rPr>
                      <w:rFonts w:ascii="Times New Roman" w:hAnsi="Times New Roman"/>
                      <w:b/>
                      <w:szCs w:val="21"/>
                    </w:rPr>
                    <w:t>相关地域市场</w:t>
                  </w:r>
                </w:p>
              </w:tc>
              <w:tc>
                <w:tcPr>
                  <w:tcW w:w="2223" w:type="dxa"/>
                  <w:shd w:val="clear" w:color="auto" w:fill="D9D9D9"/>
                  <w:vAlign w:val="center"/>
                </w:tcPr>
                <w:p>
                  <w:pPr>
                    <w:snapToGrid w:val="0"/>
                    <w:jc w:val="center"/>
                    <w:rPr>
                      <w:rFonts w:ascii="Times New Roman" w:hAnsi="Times New Roman"/>
                      <w:b/>
                      <w:szCs w:val="21"/>
                    </w:rPr>
                  </w:pPr>
                  <w:r>
                    <w:rPr>
                      <w:rFonts w:ascii="Times New Roman" w:hAnsi="Times New Roman"/>
                      <w:b/>
                      <w:szCs w:val="21"/>
                    </w:rPr>
                    <w:t>市场份额数据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247" w:type="dxa"/>
                  <w:shd w:val="clear" w:color="auto" w:fill="auto"/>
                  <w:vAlign w:val="center"/>
                </w:tcPr>
                <w:p>
                  <w:pPr>
                    <w:snapToGrid w:val="0"/>
                    <w:spacing w:before="156" w:beforeLines="50" w:line="360" w:lineRule="auto"/>
                    <w:jc w:val="center"/>
                    <w:rPr>
                      <w:rFonts w:ascii="Times New Roman" w:hAnsi="Times New Roman"/>
                      <w:szCs w:val="21"/>
                    </w:rPr>
                  </w:pPr>
                  <w:r>
                    <w:rPr>
                      <w:rFonts w:ascii="Times New Roman" w:hAnsi="Times New Roman"/>
                      <w:szCs w:val="21"/>
                    </w:rPr>
                    <w:t>人身保险服务市场</w:t>
                  </w:r>
                </w:p>
              </w:tc>
              <w:tc>
                <w:tcPr>
                  <w:tcW w:w="1530" w:type="dxa"/>
                  <w:shd w:val="clear" w:color="auto" w:fill="auto"/>
                  <w:vAlign w:val="center"/>
                </w:tcPr>
                <w:p>
                  <w:pPr>
                    <w:snapToGrid w:val="0"/>
                    <w:spacing w:before="156" w:beforeLines="50" w:line="360" w:lineRule="auto"/>
                    <w:jc w:val="center"/>
                    <w:rPr>
                      <w:rFonts w:ascii="Times New Roman" w:hAnsi="Times New Roman"/>
                      <w:szCs w:val="21"/>
                    </w:rPr>
                  </w:pPr>
                  <w:r>
                    <w:rPr>
                      <w:rFonts w:ascii="Times New Roman" w:hAnsi="Times New Roman"/>
                      <w:szCs w:val="21"/>
                    </w:rPr>
                    <w:t>中国</w:t>
                  </w:r>
                </w:p>
              </w:tc>
              <w:tc>
                <w:tcPr>
                  <w:tcW w:w="2223" w:type="dxa"/>
                  <w:shd w:val="clear" w:color="auto" w:fill="auto"/>
                  <w:vAlign w:val="center"/>
                </w:tcPr>
                <w:p>
                  <w:pPr>
                    <w:snapToGrid w:val="0"/>
                    <w:rPr>
                      <w:rFonts w:ascii="Times New Roman" w:hAnsi="Times New Roman"/>
                      <w:szCs w:val="21"/>
                    </w:rPr>
                  </w:pPr>
                  <w:r>
                    <w:rPr>
                      <w:rFonts w:ascii="Times New Roman" w:hAnsi="Times New Roman"/>
                      <w:szCs w:val="21"/>
                    </w:rPr>
                    <w:t>安达保险：0-5%</w:t>
                  </w:r>
                </w:p>
                <w:p>
                  <w:pPr>
                    <w:snapToGrid w:val="0"/>
                    <w:rPr>
                      <w:rFonts w:ascii="Times New Roman" w:hAnsi="Times New Roman"/>
                      <w:szCs w:val="21"/>
                    </w:rPr>
                  </w:pPr>
                  <w:r>
                    <w:rPr>
                      <w:rFonts w:ascii="Times New Roman" w:hAnsi="Times New Roman"/>
                      <w:szCs w:val="21"/>
                    </w:rPr>
                    <w:t>华泰保险集团：0-5%</w:t>
                  </w:r>
                </w:p>
                <w:p>
                  <w:pPr>
                    <w:snapToGrid w:val="0"/>
                    <w:rPr>
                      <w:rFonts w:ascii="Times New Roman" w:hAnsi="Times New Roman"/>
                      <w:szCs w:val="21"/>
                    </w:rPr>
                  </w:pPr>
                  <w:r>
                    <w:rPr>
                      <w:rFonts w:ascii="Times New Roman" w:hAnsi="Times New Roman"/>
                      <w:szCs w:val="21"/>
                    </w:rPr>
                    <w:t>双方合计：0-5%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247" w:type="dxa"/>
                  <w:shd w:val="clear" w:color="auto" w:fill="auto"/>
                  <w:vAlign w:val="center"/>
                </w:tcPr>
                <w:p>
                  <w:pPr>
                    <w:snapToGrid w:val="0"/>
                    <w:spacing w:before="156" w:beforeLines="50" w:line="360" w:lineRule="auto"/>
                    <w:jc w:val="center"/>
                    <w:rPr>
                      <w:rFonts w:ascii="Times New Roman" w:hAnsi="Times New Roman"/>
                      <w:szCs w:val="21"/>
                    </w:rPr>
                  </w:pPr>
                  <w:r>
                    <w:rPr>
                      <w:rFonts w:ascii="Times New Roman" w:hAnsi="Times New Roman"/>
                      <w:szCs w:val="21"/>
                    </w:rPr>
                    <w:t>财产保险服务市场</w:t>
                  </w:r>
                </w:p>
              </w:tc>
              <w:tc>
                <w:tcPr>
                  <w:tcW w:w="1530" w:type="dxa"/>
                  <w:shd w:val="clear" w:color="auto" w:fill="auto"/>
                  <w:vAlign w:val="center"/>
                </w:tcPr>
                <w:p>
                  <w:pPr>
                    <w:snapToGrid w:val="0"/>
                    <w:spacing w:before="156" w:beforeLines="50" w:line="360" w:lineRule="auto"/>
                    <w:jc w:val="center"/>
                    <w:rPr>
                      <w:rFonts w:ascii="Times New Roman" w:hAnsi="Times New Roman"/>
                      <w:szCs w:val="21"/>
                    </w:rPr>
                  </w:pPr>
                  <w:r>
                    <w:rPr>
                      <w:rFonts w:ascii="Times New Roman" w:hAnsi="Times New Roman"/>
                      <w:szCs w:val="21"/>
                    </w:rPr>
                    <w:t>中国</w:t>
                  </w:r>
                </w:p>
              </w:tc>
              <w:tc>
                <w:tcPr>
                  <w:tcW w:w="2223" w:type="dxa"/>
                  <w:shd w:val="clear" w:color="auto" w:fill="auto"/>
                  <w:vAlign w:val="center"/>
                </w:tcPr>
                <w:p>
                  <w:pPr>
                    <w:snapToGrid w:val="0"/>
                    <w:rPr>
                      <w:rFonts w:ascii="Times New Roman" w:hAnsi="Times New Roman"/>
                      <w:szCs w:val="21"/>
                    </w:rPr>
                  </w:pPr>
                  <w:r>
                    <w:rPr>
                      <w:rFonts w:ascii="Times New Roman" w:hAnsi="Times New Roman"/>
                      <w:szCs w:val="21"/>
                    </w:rPr>
                    <w:t>安达保险：0-5%</w:t>
                  </w:r>
                </w:p>
                <w:p>
                  <w:pPr>
                    <w:snapToGrid w:val="0"/>
                    <w:rPr>
                      <w:rFonts w:ascii="Times New Roman" w:hAnsi="Times New Roman"/>
                      <w:szCs w:val="21"/>
                    </w:rPr>
                  </w:pPr>
                  <w:r>
                    <w:rPr>
                      <w:rFonts w:ascii="Times New Roman" w:hAnsi="Times New Roman"/>
                      <w:szCs w:val="21"/>
                    </w:rPr>
                    <w:t>华泰保险集团：0-5%</w:t>
                  </w:r>
                </w:p>
                <w:p>
                  <w:pPr>
                    <w:snapToGrid w:val="0"/>
                    <w:rPr>
                      <w:rFonts w:ascii="Times New Roman" w:hAnsi="Times New Roman"/>
                      <w:szCs w:val="21"/>
                    </w:rPr>
                  </w:pPr>
                  <w:r>
                    <w:rPr>
                      <w:rFonts w:ascii="Times New Roman" w:hAnsi="Times New Roman"/>
                      <w:szCs w:val="21"/>
                    </w:rPr>
                    <w:t>双方合计：0-5%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</w:tblPrEx>
              <w:tc>
                <w:tcPr>
                  <w:tcW w:w="2247" w:type="dxa"/>
                  <w:shd w:val="clear" w:color="auto" w:fill="auto"/>
                  <w:vAlign w:val="center"/>
                </w:tcPr>
                <w:p>
                  <w:pPr>
                    <w:snapToGrid w:val="0"/>
                    <w:spacing w:before="156" w:beforeLines="50" w:line="360" w:lineRule="auto"/>
                    <w:jc w:val="center"/>
                    <w:rPr>
                      <w:rFonts w:ascii="Times New Roman" w:hAnsi="Times New Roman"/>
                      <w:szCs w:val="21"/>
                    </w:rPr>
                  </w:pPr>
                  <w:r>
                    <w:rPr>
                      <w:rFonts w:ascii="Times New Roman" w:hAnsi="Times New Roman"/>
                      <w:szCs w:val="21"/>
                    </w:rPr>
                    <w:t>再保险服务市场</w:t>
                  </w:r>
                </w:p>
              </w:tc>
              <w:tc>
                <w:tcPr>
                  <w:tcW w:w="1530" w:type="dxa"/>
                  <w:shd w:val="clear" w:color="auto" w:fill="auto"/>
                  <w:vAlign w:val="center"/>
                </w:tcPr>
                <w:p>
                  <w:pPr>
                    <w:snapToGrid w:val="0"/>
                    <w:spacing w:before="156" w:beforeLines="50" w:line="360" w:lineRule="auto"/>
                    <w:jc w:val="center"/>
                    <w:rPr>
                      <w:rFonts w:ascii="Times New Roman" w:hAnsi="Times New Roman"/>
                      <w:szCs w:val="21"/>
                    </w:rPr>
                  </w:pPr>
                  <w:r>
                    <w:rPr>
                      <w:rFonts w:ascii="Times New Roman" w:hAnsi="Times New Roman"/>
                      <w:szCs w:val="21"/>
                    </w:rPr>
                    <w:t>全球</w:t>
                  </w:r>
                </w:p>
              </w:tc>
              <w:tc>
                <w:tcPr>
                  <w:tcW w:w="2223" w:type="dxa"/>
                  <w:shd w:val="clear" w:color="auto" w:fill="auto"/>
                  <w:vAlign w:val="center"/>
                </w:tcPr>
                <w:p>
                  <w:pPr>
                    <w:snapToGrid w:val="0"/>
                    <w:rPr>
                      <w:rFonts w:ascii="Times New Roman" w:hAnsi="Times New Roman"/>
                      <w:szCs w:val="21"/>
                    </w:rPr>
                  </w:pPr>
                  <w:r>
                    <w:rPr>
                      <w:rFonts w:ascii="Times New Roman" w:hAnsi="Times New Roman"/>
                      <w:szCs w:val="21"/>
                    </w:rPr>
                    <w:t>安达保险：0-5%</w:t>
                  </w:r>
                </w:p>
                <w:p>
                  <w:pPr>
                    <w:snapToGrid w:val="0"/>
                    <w:rPr>
                      <w:rFonts w:ascii="Times New Roman" w:hAnsi="Times New Roman"/>
                      <w:szCs w:val="21"/>
                    </w:rPr>
                  </w:pPr>
                  <w:r>
                    <w:rPr>
                      <w:rFonts w:ascii="Times New Roman" w:hAnsi="Times New Roman"/>
                      <w:szCs w:val="21"/>
                    </w:rPr>
                    <w:t>华泰保险集团：0-5%</w:t>
                  </w:r>
                </w:p>
                <w:p>
                  <w:pPr>
                    <w:snapToGrid w:val="0"/>
                    <w:rPr>
                      <w:rFonts w:ascii="Times New Roman" w:hAnsi="Times New Roman"/>
                      <w:szCs w:val="21"/>
                    </w:rPr>
                  </w:pPr>
                  <w:r>
                    <w:rPr>
                      <w:rFonts w:ascii="Times New Roman" w:hAnsi="Times New Roman"/>
                      <w:szCs w:val="21"/>
                    </w:rPr>
                    <w:t>双方合计：0-5%</w:t>
                  </w:r>
                </w:p>
              </w:tc>
            </w:tr>
          </w:tbl>
          <w:p>
            <w:pPr>
              <w:snapToGrid w:val="0"/>
              <w:rPr>
                <w:rFonts w:ascii="Times New Roman" w:hAnsi="Times New Roman"/>
                <w:b/>
                <w:bCs/>
                <w:szCs w:val="21"/>
              </w:rPr>
            </w:pPr>
          </w:p>
          <w:p>
            <w:pPr>
              <w:snapToGrid w:val="0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b/>
                <w:bCs/>
                <w:szCs w:val="21"/>
              </w:rPr>
              <w:t>纵向关联</w:t>
            </w:r>
            <w:r>
              <w:rPr>
                <w:rFonts w:ascii="Times New Roman" w:hAnsi="Times New Roman"/>
                <w:szCs w:val="21"/>
              </w:rPr>
              <w:t>：</w:t>
            </w:r>
          </w:p>
          <w:tbl>
            <w:tblPr>
              <w:tblStyle w:val="9"/>
              <w:tblW w:w="6671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652"/>
              <w:gridCol w:w="1547"/>
              <w:gridCol w:w="2472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652" w:type="dxa"/>
                  <w:shd w:val="clear" w:color="auto" w:fill="D9D9D9"/>
                  <w:vAlign w:val="center"/>
                </w:tcPr>
                <w:p>
                  <w:pPr>
                    <w:snapToGrid w:val="0"/>
                    <w:jc w:val="center"/>
                    <w:rPr>
                      <w:rFonts w:ascii="Times New Roman" w:hAnsi="Times New Roman"/>
                      <w:b/>
                      <w:szCs w:val="21"/>
                    </w:rPr>
                  </w:pPr>
                  <w:r>
                    <w:rPr>
                      <w:rFonts w:ascii="Times New Roman" w:hAnsi="Times New Roman"/>
                      <w:b/>
                      <w:szCs w:val="21"/>
                    </w:rPr>
                    <w:t>相关商品市场</w:t>
                  </w:r>
                </w:p>
              </w:tc>
              <w:tc>
                <w:tcPr>
                  <w:tcW w:w="1547" w:type="dxa"/>
                  <w:shd w:val="clear" w:color="auto" w:fill="D9D9D9"/>
                  <w:vAlign w:val="center"/>
                </w:tcPr>
                <w:p>
                  <w:pPr>
                    <w:snapToGrid w:val="0"/>
                    <w:jc w:val="center"/>
                    <w:rPr>
                      <w:rFonts w:ascii="Times New Roman" w:hAnsi="Times New Roman"/>
                      <w:b/>
                      <w:szCs w:val="21"/>
                    </w:rPr>
                  </w:pPr>
                  <w:r>
                    <w:rPr>
                      <w:rFonts w:ascii="Times New Roman" w:hAnsi="Times New Roman"/>
                      <w:b/>
                      <w:szCs w:val="21"/>
                    </w:rPr>
                    <w:t>相关地域市场</w:t>
                  </w:r>
                </w:p>
              </w:tc>
              <w:tc>
                <w:tcPr>
                  <w:tcW w:w="2472" w:type="dxa"/>
                  <w:shd w:val="clear" w:color="auto" w:fill="D9D9D9"/>
                  <w:vAlign w:val="center"/>
                </w:tcPr>
                <w:p>
                  <w:pPr>
                    <w:snapToGrid w:val="0"/>
                    <w:jc w:val="center"/>
                    <w:rPr>
                      <w:rFonts w:ascii="Times New Roman" w:hAnsi="Times New Roman"/>
                      <w:b/>
                      <w:szCs w:val="21"/>
                    </w:rPr>
                  </w:pPr>
                  <w:r>
                    <w:rPr>
                      <w:rFonts w:ascii="Times New Roman" w:hAnsi="Times New Roman"/>
                      <w:b/>
                      <w:szCs w:val="21"/>
                    </w:rPr>
                    <w:t>市场份额数据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652" w:type="dxa"/>
                  <w:shd w:val="clear" w:color="auto" w:fill="auto"/>
                  <w:vAlign w:val="center"/>
                </w:tcPr>
                <w:p>
                  <w:pPr>
                    <w:snapToGrid w:val="0"/>
                    <w:spacing w:before="156" w:beforeLines="50" w:line="360" w:lineRule="auto"/>
                    <w:jc w:val="center"/>
                    <w:rPr>
                      <w:rFonts w:ascii="Times New Roman" w:hAnsi="Times New Roman"/>
                      <w:szCs w:val="21"/>
                    </w:rPr>
                  </w:pPr>
                  <w:r>
                    <w:rPr>
                      <w:rFonts w:hint="eastAsia" w:ascii="Times New Roman" w:hAnsi="Times New Roman"/>
                      <w:szCs w:val="21"/>
                    </w:rPr>
                    <w:t>上游：</w:t>
                  </w:r>
                  <w:r>
                    <w:rPr>
                      <w:rFonts w:ascii="Times New Roman" w:hAnsi="Times New Roman"/>
                      <w:szCs w:val="21"/>
                    </w:rPr>
                    <w:t>再保险服务市场</w:t>
                  </w:r>
                </w:p>
              </w:tc>
              <w:tc>
                <w:tcPr>
                  <w:tcW w:w="1547" w:type="dxa"/>
                  <w:shd w:val="clear" w:color="auto" w:fill="auto"/>
                  <w:vAlign w:val="center"/>
                </w:tcPr>
                <w:p>
                  <w:pPr>
                    <w:snapToGrid w:val="0"/>
                    <w:spacing w:before="156" w:beforeLines="50" w:line="360" w:lineRule="auto"/>
                    <w:jc w:val="center"/>
                    <w:rPr>
                      <w:rFonts w:ascii="Times New Roman" w:hAnsi="Times New Roman"/>
                      <w:szCs w:val="21"/>
                    </w:rPr>
                  </w:pPr>
                  <w:r>
                    <w:rPr>
                      <w:rFonts w:ascii="Times New Roman" w:hAnsi="Times New Roman"/>
                      <w:szCs w:val="21"/>
                    </w:rPr>
                    <w:t>全球</w:t>
                  </w:r>
                </w:p>
              </w:tc>
              <w:tc>
                <w:tcPr>
                  <w:tcW w:w="2472" w:type="dxa"/>
                  <w:shd w:val="clear" w:color="auto" w:fill="auto"/>
                  <w:vAlign w:val="center"/>
                </w:tcPr>
                <w:p>
                  <w:pPr>
                    <w:snapToGrid w:val="0"/>
                    <w:rPr>
                      <w:rFonts w:ascii="Times New Roman" w:hAnsi="Times New Roman"/>
                      <w:szCs w:val="21"/>
                    </w:rPr>
                  </w:pPr>
                  <w:r>
                    <w:rPr>
                      <w:rFonts w:ascii="Times New Roman" w:hAnsi="Times New Roman"/>
                      <w:szCs w:val="21"/>
                    </w:rPr>
                    <w:t>安达保险：0-5%</w:t>
                  </w:r>
                </w:p>
                <w:p>
                  <w:pPr>
                    <w:snapToGrid w:val="0"/>
                    <w:rPr>
                      <w:rFonts w:ascii="Times New Roman" w:hAnsi="Times New Roman"/>
                      <w:szCs w:val="21"/>
                    </w:rPr>
                  </w:pPr>
                  <w:r>
                    <w:rPr>
                      <w:rFonts w:ascii="Times New Roman" w:hAnsi="Times New Roman"/>
                      <w:szCs w:val="21"/>
                    </w:rPr>
                    <w:t>华泰保险集团：0-5%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652" w:type="dxa"/>
                  <w:shd w:val="clear" w:color="auto" w:fill="auto"/>
                  <w:vAlign w:val="center"/>
                </w:tcPr>
                <w:p>
                  <w:pPr>
                    <w:snapToGrid w:val="0"/>
                    <w:spacing w:before="156" w:beforeLines="50" w:line="360" w:lineRule="auto"/>
                    <w:jc w:val="center"/>
                    <w:rPr>
                      <w:rFonts w:ascii="Times New Roman" w:hAnsi="Times New Roman"/>
                      <w:szCs w:val="21"/>
                    </w:rPr>
                  </w:pPr>
                  <w:r>
                    <w:rPr>
                      <w:rFonts w:hint="eastAsia" w:ascii="Times New Roman" w:hAnsi="Times New Roman"/>
                      <w:szCs w:val="21"/>
                    </w:rPr>
                    <w:t>下游：</w:t>
                  </w:r>
                  <w:r>
                    <w:rPr>
                      <w:rFonts w:ascii="Times New Roman" w:hAnsi="Times New Roman"/>
                      <w:szCs w:val="21"/>
                    </w:rPr>
                    <w:t>人身保险服务市场</w:t>
                  </w:r>
                </w:p>
              </w:tc>
              <w:tc>
                <w:tcPr>
                  <w:tcW w:w="1547" w:type="dxa"/>
                  <w:shd w:val="clear" w:color="auto" w:fill="auto"/>
                  <w:vAlign w:val="center"/>
                </w:tcPr>
                <w:p>
                  <w:pPr>
                    <w:snapToGrid w:val="0"/>
                    <w:spacing w:before="156" w:beforeLines="50" w:line="360" w:lineRule="auto"/>
                    <w:jc w:val="center"/>
                    <w:rPr>
                      <w:rFonts w:ascii="Times New Roman" w:hAnsi="Times New Roman"/>
                      <w:szCs w:val="21"/>
                    </w:rPr>
                  </w:pPr>
                  <w:r>
                    <w:rPr>
                      <w:rFonts w:ascii="Times New Roman" w:hAnsi="Times New Roman"/>
                      <w:szCs w:val="21"/>
                    </w:rPr>
                    <w:t>中国</w:t>
                  </w:r>
                </w:p>
              </w:tc>
              <w:tc>
                <w:tcPr>
                  <w:tcW w:w="2472" w:type="dxa"/>
                  <w:shd w:val="clear" w:color="auto" w:fill="auto"/>
                  <w:vAlign w:val="center"/>
                </w:tcPr>
                <w:p>
                  <w:pPr>
                    <w:snapToGrid w:val="0"/>
                    <w:rPr>
                      <w:rFonts w:ascii="Times New Roman" w:hAnsi="Times New Roman"/>
                      <w:szCs w:val="21"/>
                    </w:rPr>
                  </w:pPr>
                  <w:r>
                    <w:rPr>
                      <w:rFonts w:ascii="Times New Roman" w:hAnsi="Times New Roman"/>
                      <w:szCs w:val="21"/>
                    </w:rPr>
                    <w:t>安达保险：0-5%</w:t>
                  </w:r>
                </w:p>
                <w:p>
                  <w:pPr>
                    <w:snapToGrid w:val="0"/>
                    <w:rPr>
                      <w:rFonts w:ascii="Times New Roman" w:hAnsi="Times New Roman"/>
                      <w:szCs w:val="21"/>
                    </w:rPr>
                  </w:pPr>
                  <w:r>
                    <w:rPr>
                      <w:rFonts w:ascii="Times New Roman" w:hAnsi="Times New Roman"/>
                      <w:szCs w:val="21"/>
                    </w:rPr>
                    <w:t>华泰保险集团：0-5%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</w:tblPrEx>
              <w:tc>
                <w:tcPr>
                  <w:tcW w:w="2652" w:type="dxa"/>
                  <w:shd w:val="clear" w:color="auto" w:fill="auto"/>
                  <w:vAlign w:val="center"/>
                </w:tcPr>
                <w:p>
                  <w:pPr>
                    <w:snapToGrid w:val="0"/>
                    <w:spacing w:before="156" w:beforeLines="50" w:line="360" w:lineRule="auto"/>
                    <w:jc w:val="center"/>
                    <w:rPr>
                      <w:rFonts w:ascii="Times New Roman" w:hAnsi="Times New Roman"/>
                      <w:szCs w:val="21"/>
                    </w:rPr>
                  </w:pPr>
                  <w:r>
                    <w:rPr>
                      <w:rFonts w:hint="eastAsia" w:ascii="Times New Roman" w:hAnsi="Times New Roman"/>
                      <w:szCs w:val="21"/>
                    </w:rPr>
                    <w:t>下游：</w:t>
                  </w:r>
                  <w:r>
                    <w:rPr>
                      <w:rFonts w:ascii="Times New Roman" w:hAnsi="Times New Roman"/>
                      <w:szCs w:val="21"/>
                    </w:rPr>
                    <w:t>财产保险服务市场</w:t>
                  </w:r>
                </w:p>
              </w:tc>
              <w:tc>
                <w:tcPr>
                  <w:tcW w:w="1547" w:type="dxa"/>
                  <w:shd w:val="clear" w:color="auto" w:fill="auto"/>
                  <w:vAlign w:val="center"/>
                </w:tcPr>
                <w:p>
                  <w:pPr>
                    <w:snapToGrid w:val="0"/>
                    <w:spacing w:before="156" w:beforeLines="50" w:line="360" w:lineRule="auto"/>
                    <w:jc w:val="center"/>
                    <w:rPr>
                      <w:rFonts w:ascii="Times New Roman" w:hAnsi="Times New Roman"/>
                      <w:szCs w:val="21"/>
                    </w:rPr>
                  </w:pPr>
                  <w:r>
                    <w:rPr>
                      <w:rFonts w:ascii="Times New Roman" w:hAnsi="Times New Roman"/>
                      <w:szCs w:val="21"/>
                    </w:rPr>
                    <w:t>中国</w:t>
                  </w:r>
                </w:p>
              </w:tc>
              <w:tc>
                <w:tcPr>
                  <w:tcW w:w="2472" w:type="dxa"/>
                  <w:shd w:val="clear" w:color="auto" w:fill="auto"/>
                  <w:vAlign w:val="center"/>
                </w:tcPr>
                <w:p>
                  <w:pPr>
                    <w:snapToGrid w:val="0"/>
                    <w:rPr>
                      <w:rFonts w:ascii="Times New Roman" w:hAnsi="Times New Roman"/>
                      <w:szCs w:val="21"/>
                    </w:rPr>
                  </w:pPr>
                  <w:r>
                    <w:rPr>
                      <w:rFonts w:ascii="Times New Roman" w:hAnsi="Times New Roman"/>
                      <w:szCs w:val="21"/>
                    </w:rPr>
                    <w:t>安达保险：0-5%</w:t>
                  </w:r>
                </w:p>
                <w:p>
                  <w:pPr>
                    <w:snapToGrid w:val="0"/>
                    <w:rPr>
                      <w:rFonts w:ascii="Times New Roman" w:hAnsi="Times New Roman"/>
                      <w:szCs w:val="21"/>
                    </w:rPr>
                  </w:pPr>
                  <w:r>
                    <w:rPr>
                      <w:rFonts w:ascii="Times New Roman" w:hAnsi="Times New Roman"/>
                      <w:szCs w:val="21"/>
                    </w:rPr>
                    <w:t>华泰保险集团：0-5%</w:t>
                  </w:r>
                </w:p>
              </w:tc>
            </w:tr>
          </w:tbl>
          <w:p>
            <w:pPr>
              <w:snapToGrid w:val="0"/>
              <w:spacing w:before="156" w:beforeLines="50" w:line="360" w:lineRule="auto"/>
              <w:rPr>
                <w:rFonts w:ascii="Times New Roman" w:hAnsi="Times New Roman"/>
                <w:szCs w:val="21"/>
              </w:rPr>
            </w:pPr>
          </w:p>
        </w:tc>
      </w:tr>
    </w:tbl>
    <w:p>
      <w:pPr>
        <w:spacing w:line="276" w:lineRule="auto"/>
        <w:rPr>
          <w:rFonts w:ascii="Times New Roman" w:hAnsi="Times New Roman"/>
          <w:sz w:val="24"/>
          <w:szCs w:val="24"/>
        </w:rPr>
      </w:pPr>
    </w:p>
    <w:sectPr>
      <w:foot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方正书宋_GB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Times New Roman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方正书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jc w:val="center"/>
      <w:rPr>
        <w:rFonts w:ascii="Times New Roman" w:hAnsi="Times New Roman"/>
      </w:rPr>
    </w:pPr>
    <w:r>
      <w:rPr>
        <w:rFonts w:ascii="Times New Roman" w:hAnsi="Times New Roman"/>
        <w:lang w:val="zh-CN"/>
      </w:rPr>
      <w:t xml:space="preserve"> </w:t>
    </w:r>
    <w:r>
      <w:rPr>
        <w:rFonts w:ascii="Times New Roman" w:hAnsi="Times New Roman"/>
        <w:b/>
        <w:bCs/>
        <w:sz w:val="24"/>
        <w:szCs w:val="24"/>
      </w:rPr>
      <w:fldChar w:fldCharType="begin"/>
    </w:r>
    <w:r>
      <w:rPr>
        <w:rFonts w:ascii="Times New Roman" w:hAnsi="Times New Roman"/>
        <w:b/>
        <w:bCs/>
      </w:rPr>
      <w:instrText xml:space="preserve">PAGE</w:instrText>
    </w:r>
    <w:r>
      <w:rPr>
        <w:rFonts w:ascii="Times New Roman" w:hAnsi="Times New Roman"/>
        <w:b/>
        <w:bCs/>
        <w:sz w:val="24"/>
        <w:szCs w:val="24"/>
      </w:rPr>
      <w:fldChar w:fldCharType="separate"/>
    </w:r>
    <w:r>
      <w:rPr>
        <w:rFonts w:ascii="Times New Roman" w:hAnsi="Times New Roman"/>
        <w:b/>
        <w:bCs/>
      </w:rPr>
      <w:t>2</w:t>
    </w:r>
    <w:r>
      <w:rPr>
        <w:rFonts w:ascii="Times New Roman" w:hAnsi="Times New Roman"/>
        <w:b/>
        <w:bCs/>
        <w:sz w:val="24"/>
        <w:szCs w:val="24"/>
      </w:rPr>
      <w:fldChar w:fldCharType="end"/>
    </w:r>
    <w:r>
      <w:rPr>
        <w:rFonts w:ascii="Times New Roman" w:hAnsi="Times New Roman"/>
        <w:lang w:val="zh-CN"/>
      </w:rPr>
      <w:t xml:space="preserve"> / </w:t>
    </w:r>
    <w:r>
      <w:rPr>
        <w:rFonts w:ascii="Times New Roman" w:hAnsi="Times New Roman"/>
        <w:b/>
        <w:bCs/>
        <w:sz w:val="24"/>
        <w:szCs w:val="24"/>
      </w:rPr>
      <w:fldChar w:fldCharType="begin"/>
    </w:r>
    <w:r>
      <w:rPr>
        <w:rFonts w:ascii="Times New Roman" w:hAnsi="Times New Roman"/>
        <w:b/>
        <w:bCs/>
      </w:rPr>
      <w:instrText xml:space="preserve">NUMPAGES</w:instrText>
    </w:r>
    <w:r>
      <w:rPr>
        <w:rFonts w:ascii="Times New Roman" w:hAnsi="Times New Roman"/>
        <w:b/>
        <w:bCs/>
        <w:sz w:val="24"/>
        <w:szCs w:val="24"/>
      </w:rPr>
      <w:fldChar w:fldCharType="separate"/>
    </w:r>
    <w:r>
      <w:rPr>
        <w:rFonts w:ascii="Times New Roman" w:hAnsi="Times New Roman"/>
        <w:b/>
        <w:bCs/>
      </w:rPr>
      <w:t>2</w:t>
    </w:r>
    <w:r>
      <w:rPr>
        <w:rFonts w:ascii="Times New Roman" w:hAnsi="Times New Roman"/>
        <w:b/>
        <w:bCs/>
        <w:sz w:val="24"/>
        <w:szCs w:val="24"/>
      </w:rPr>
      <w:fldChar w:fldCharType="end"/>
    </w:r>
  </w:p>
  <w:p>
    <w:pPr>
      <w:pStyle w:val="5"/>
      <w:jc w:val="center"/>
      <w:rPr>
        <w:rFonts w:ascii="Times New Roman" w:hAnsi="Times New Roman"/>
      </w:rPr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true"/>
  <w:bordersDoNotSurroundHeader w:val="true"/>
  <w:bordersDoNotSurroundFooter w:val="true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ayNDEwNzAyMDAzsLAwMDdU0lEKTi0uzszPAykwqwUAZVlxLiwAAAA="/>
  </w:docVars>
  <w:rsids>
    <w:rsidRoot w:val="00B14956"/>
    <w:rsid w:val="00001CC2"/>
    <w:rsid w:val="00017E8E"/>
    <w:rsid w:val="00061156"/>
    <w:rsid w:val="000722FE"/>
    <w:rsid w:val="00073E9B"/>
    <w:rsid w:val="00091749"/>
    <w:rsid w:val="000A7E4E"/>
    <w:rsid w:val="000C0AD8"/>
    <w:rsid w:val="000C336E"/>
    <w:rsid w:val="000D629B"/>
    <w:rsid w:val="000E19B2"/>
    <w:rsid w:val="000F2A48"/>
    <w:rsid w:val="000F4F26"/>
    <w:rsid w:val="00145863"/>
    <w:rsid w:val="0015193E"/>
    <w:rsid w:val="0015387B"/>
    <w:rsid w:val="00184B89"/>
    <w:rsid w:val="0018524A"/>
    <w:rsid w:val="00196EB4"/>
    <w:rsid w:val="001B7331"/>
    <w:rsid w:val="001D4D3A"/>
    <w:rsid w:val="001E78F1"/>
    <w:rsid w:val="00210A03"/>
    <w:rsid w:val="00222756"/>
    <w:rsid w:val="00225027"/>
    <w:rsid w:val="002328BC"/>
    <w:rsid w:val="002554B4"/>
    <w:rsid w:val="00286040"/>
    <w:rsid w:val="00294116"/>
    <w:rsid w:val="002E6B78"/>
    <w:rsid w:val="002F212D"/>
    <w:rsid w:val="002F53CC"/>
    <w:rsid w:val="002F7B5A"/>
    <w:rsid w:val="00304B98"/>
    <w:rsid w:val="00312662"/>
    <w:rsid w:val="00316AE0"/>
    <w:rsid w:val="0033384D"/>
    <w:rsid w:val="00342040"/>
    <w:rsid w:val="00373538"/>
    <w:rsid w:val="00375378"/>
    <w:rsid w:val="003B7560"/>
    <w:rsid w:val="003C0C83"/>
    <w:rsid w:val="003D6594"/>
    <w:rsid w:val="003D705E"/>
    <w:rsid w:val="003E0D8D"/>
    <w:rsid w:val="00420464"/>
    <w:rsid w:val="00423371"/>
    <w:rsid w:val="00432A99"/>
    <w:rsid w:val="00434993"/>
    <w:rsid w:val="00435200"/>
    <w:rsid w:val="004360D0"/>
    <w:rsid w:val="00452BB8"/>
    <w:rsid w:val="0046088D"/>
    <w:rsid w:val="00466CEC"/>
    <w:rsid w:val="00472B1C"/>
    <w:rsid w:val="0048608E"/>
    <w:rsid w:val="00496515"/>
    <w:rsid w:val="004B3137"/>
    <w:rsid w:val="004D4B47"/>
    <w:rsid w:val="004E550D"/>
    <w:rsid w:val="004F703E"/>
    <w:rsid w:val="0050330F"/>
    <w:rsid w:val="00525DEC"/>
    <w:rsid w:val="00543806"/>
    <w:rsid w:val="00573916"/>
    <w:rsid w:val="00584A74"/>
    <w:rsid w:val="005A2726"/>
    <w:rsid w:val="005B0F43"/>
    <w:rsid w:val="005B7063"/>
    <w:rsid w:val="005D7B3A"/>
    <w:rsid w:val="005F092C"/>
    <w:rsid w:val="00606121"/>
    <w:rsid w:val="006065AC"/>
    <w:rsid w:val="006271EF"/>
    <w:rsid w:val="00640FEA"/>
    <w:rsid w:val="006922DB"/>
    <w:rsid w:val="006B0C5D"/>
    <w:rsid w:val="006C5DE9"/>
    <w:rsid w:val="006D0734"/>
    <w:rsid w:val="006F343C"/>
    <w:rsid w:val="00773B98"/>
    <w:rsid w:val="00780E19"/>
    <w:rsid w:val="00782652"/>
    <w:rsid w:val="007B103D"/>
    <w:rsid w:val="007C1F21"/>
    <w:rsid w:val="007C56E8"/>
    <w:rsid w:val="007D30C5"/>
    <w:rsid w:val="007E7043"/>
    <w:rsid w:val="007F4BD3"/>
    <w:rsid w:val="0084037D"/>
    <w:rsid w:val="0085074E"/>
    <w:rsid w:val="00854E9C"/>
    <w:rsid w:val="008627A6"/>
    <w:rsid w:val="0086403C"/>
    <w:rsid w:val="0086797B"/>
    <w:rsid w:val="008708EA"/>
    <w:rsid w:val="008710C9"/>
    <w:rsid w:val="00884F9B"/>
    <w:rsid w:val="0089010C"/>
    <w:rsid w:val="00897D2E"/>
    <w:rsid w:val="008A16A0"/>
    <w:rsid w:val="008A2B72"/>
    <w:rsid w:val="008C2FE2"/>
    <w:rsid w:val="008C3848"/>
    <w:rsid w:val="008E2DA4"/>
    <w:rsid w:val="008E67B9"/>
    <w:rsid w:val="008F78B8"/>
    <w:rsid w:val="00902D85"/>
    <w:rsid w:val="00917B19"/>
    <w:rsid w:val="0092546D"/>
    <w:rsid w:val="00934DFF"/>
    <w:rsid w:val="00940EDD"/>
    <w:rsid w:val="00941AA7"/>
    <w:rsid w:val="0096479D"/>
    <w:rsid w:val="009A2CCA"/>
    <w:rsid w:val="009C6395"/>
    <w:rsid w:val="009C7687"/>
    <w:rsid w:val="009D540D"/>
    <w:rsid w:val="009E3D38"/>
    <w:rsid w:val="00A025C3"/>
    <w:rsid w:val="00A13775"/>
    <w:rsid w:val="00A43201"/>
    <w:rsid w:val="00A4683F"/>
    <w:rsid w:val="00A54132"/>
    <w:rsid w:val="00A54235"/>
    <w:rsid w:val="00A56EE9"/>
    <w:rsid w:val="00A70032"/>
    <w:rsid w:val="00A85D6A"/>
    <w:rsid w:val="00A903AB"/>
    <w:rsid w:val="00A97224"/>
    <w:rsid w:val="00AB2811"/>
    <w:rsid w:val="00AC390A"/>
    <w:rsid w:val="00AC6F12"/>
    <w:rsid w:val="00AD1AE1"/>
    <w:rsid w:val="00AD1D01"/>
    <w:rsid w:val="00AF258C"/>
    <w:rsid w:val="00AF6DAD"/>
    <w:rsid w:val="00B14956"/>
    <w:rsid w:val="00B56333"/>
    <w:rsid w:val="00B732F0"/>
    <w:rsid w:val="00B935B6"/>
    <w:rsid w:val="00BB1C00"/>
    <w:rsid w:val="00BC77A3"/>
    <w:rsid w:val="00C05A99"/>
    <w:rsid w:val="00C27EA6"/>
    <w:rsid w:val="00C35610"/>
    <w:rsid w:val="00C70D12"/>
    <w:rsid w:val="00C763F7"/>
    <w:rsid w:val="00C83CF6"/>
    <w:rsid w:val="00C91A93"/>
    <w:rsid w:val="00CA0007"/>
    <w:rsid w:val="00CB42BA"/>
    <w:rsid w:val="00CC589D"/>
    <w:rsid w:val="00CD0B3B"/>
    <w:rsid w:val="00CD7C27"/>
    <w:rsid w:val="00CE2851"/>
    <w:rsid w:val="00D13334"/>
    <w:rsid w:val="00D158AF"/>
    <w:rsid w:val="00D33FE4"/>
    <w:rsid w:val="00D643EE"/>
    <w:rsid w:val="00D65305"/>
    <w:rsid w:val="00D67FA6"/>
    <w:rsid w:val="00D82BFB"/>
    <w:rsid w:val="00DA29B6"/>
    <w:rsid w:val="00DD6315"/>
    <w:rsid w:val="00DD6862"/>
    <w:rsid w:val="00E05A3D"/>
    <w:rsid w:val="00E30C2D"/>
    <w:rsid w:val="00E36095"/>
    <w:rsid w:val="00E36B16"/>
    <w:rsid w:val="00E66D13"/>
    <w:rsid w:val="00E760F3"/>
    <w:rsid w:val="00E9072B"/>
    <w:rsid w:val="00EA08C9"/>
    <w:rsid w:val="00ED7B68"/>
    <w:rsid w:val="00EE577B"/>
    <w:rsid w:val="00EE6575"/>
    <w:rsid w:val="00EF4C31"/>
    <w:rsid w:val="00EF4CBD"/>
    <w:rsid w:val="00F10590"/>
    <w:rsid w:val="00F164DB"/>
    <w:rsid w:val="00F42045"/>
    <w:rsid w:val="00F43AFB"/>
    <w:rsid w:val="00F507D3"/>
    <w:rsid w:val="00F91761"/>
    <w:rsid w:val="00FC5E8C"/>
    <w:rsid w:val="00FE0331"/>
    <w:rsid w:val="00FE151D"/>
    <w:rsid w:val="00FE30EF"/>
    <w:rsid w:val="D7EF4D3E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qFormat="1" w:uiPriority="99" w:name="annotation reference"/>
    <w:lsdException w:uiPriority="99" w:name="line number"/>
    <w:lsdException w:uiPriority="99" w:name="page number"/>
    <w:lsdException w:qFormat="1" w:uiPriority="99" w:name="endnote reference"/>
    <w:lsdException w:qFormat="1"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22"/>
    <w:semiHidden/>
    <w:unhideWhenUsed/>
    <w:qFormat/>
    <w:uiPriority w:val="99"/>
    <w:pPr>
      <w:jc w:val="left"/>
    </w:pPr>
  </w:style>
  <w:style w:type="paragraph" w:styleId="3">
    <w:name w:val="endnote text"/>
    <w:basedOn w:val="1"/>
    <w:link w:val="15"/>
    <w:semiHidden/>
    <w:unhideWhenUsed/>
    <w:qFormat/>
    <w:uiPriority w:val="99"/>
    <w:pPr>
      <w:snapToGrid w:val="0"/>
      <w:jc w:val="left"/>
    </w:pPr>
  </w:style>
  <w:style w:type="paragraph" w:styleId="4">
    <w:name w:val="Balloon Text"/>
    <w:basedOn w:val="1"/>
    <w:link w:val="21"/>
    <w:semiHidden/>
    <w:unhideWhenUsed/>
    <w:qFormat/>
    <w:uiPriority w:val="99"/>
    <w:rPr>
      <w:sz w:val="18"/>
      <w:szCs w:val="18"/>
    </w:rPr>
  </w:style>
  <w:style w:type="paragraph" w:styleId="5">
    <w:name w:val="footer"/>
    <w:basedOn w:val="1"/>
    <w:link w:val="1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footnote text"/>
    <w:basedOn w:val="1"/>
    <w:link w:val="25"/>
    <w:semiHidden/>
    <w:unhideWhenUsed/>
    <w:qFormat/>
    <w:uiPriority w:val="99"/>
    <w:pPr>
      <w:snapToGrid w:val="0"/>
      <w:jc w:val="left"/>
    </w:pPr>
    <w:rPr>
      <w:sz w:val="18"/>
      <w:szCs w:val="18"/>
    </w:rPr>
  </w:style>
  <w:style w:type="paragraph" w:styleId="8">
    <w:name w:val="annotation subject"/>
    <w:basedOn w:val="2"/>
    <w:next w:val="2"/>
    <w:link w:val="23"/>
    <w:semiHidden/>
    <w:unhideWhenUsed/>
    <w:qFormat/>
    <w:uiPriority w:val="99"/>
    <w:rPr>
      <w:b/>
      <w:bCs/>
    </w:rPr>
  </w:style>
  <w:style w:type="table" w:styleId="10">
    <w:name w:val="Table Grid"/>
    <w:basedOn w:val="9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2">
    <w:name w:val="endnote reference"/>
    <w:semiHidden/>
    <w:unhideWhenUsed/>
    <w:qFormat/>
    <w:uiPriority w:val="99"/>
    <w:rPr>
      <w:vertAlign w:val="superscript"/>
    </w:rPr>
  </w:style>
  <w:style w:type="character" w:styleId="13">
    <w:name w:val="annotation reference"/>
    <w:semiHidden/>
    <w:unhideWhenUsed/>
    <w:qFormat/>
    <w:uiPriority w:val="99"/>
    <w:rPr>
      <w:sz w:val="21"/>
      <w:szCs w:val="21"/>
    </w:rPr>
  </w:style>
  <w:style w:type="character" w:styleId="14">
    <w:name w:val="footnote reference"/>
    <w:basedOn w:val="11"/>
    <w:semiHidden/>
    <w:unhideWhenUsed/>
    <w:qFormat/>
    <w:uiPriority w:val="99"/>
    <w:rPr>
      <w:vertAlign w:val="superscript"/>
    </w:rPr>
  </w:style>
  <w:style w:type="character" w:customStyle="1" w:styleId="15">
    <w:name w:val="Endnote Text Char"/>
    <w:basedOn w:val="11"/>
    <w:link w:val="3"/>
    <w:semiHidden/>
    <w:qFormat/>
    <w:uiPriority w:val="99"/>
  </w:style>
  <w:style w:type="character" w:customStyle="1" w:styleId="16">
    <w:name w:val="Header Char"/>
    <w:link w:val="6"/>
    <w:qFormat/>
    <w:uiPriority w:val="99"/>
    <w:rPr>
      <w:sz w:val="18"/>
      <w:szCs w:val="18"/>
    </w:rPr>
  </w:style>
  <w:style w:type="character" w:customStyle="1" w:styleId="17">
    <w:name w:val="Footer Char"/>
    <w:link w:val="5"/>
    <w:qFormat/>
    <w:uiPriority w:val="99"/>
    <w:rPr>
      <w:sz w:val="18"/>
      <w:szCs w:val="18"/>
    </w:rPr>
  </w:style>
  <w:style w:type="character" w:customStyle="1" w:styleId="18">
    <w:name w:val="zx-detail-expand-text"/>
    <w:qFormat/>
    <w:uiPriority w:val="0"/>
  </w:style>
  <w:style w:type="paragraph" w:customStyle="1" w:styleId="19">
    <w:name w:val="彩色列表 - 着色 11"/>
    <w:basedOn w:val="1"/>
    <w:qFormat/>
    <w:uiPriority w:val="34"/>
    <w:pPr>
      <w:ind w:firstLine="420" w:firstLineChars="200"/>
    </w:pPr>
  </w:style>
  <w:style w:type="character" w:customStyle="1" w:styleId="20">
    <w:name w:val="zzmpTrailerItem"/>
    <w:qFormat/>
    <w:uiPriority w:val="0"/>
    <w:rPr>
      <w:rFonts w:ascii="Calibri" w:hAnsi="Calibri" w:cs="Calibri"/>
      <w:color w:val="auto"/>
      <w:spacing w:val="0"/>
      <w:position w:val="0"/>
      <w:sz w:val="16"/>
      <w:szCs w:val="16"/>
      <w:u w:val="none"/>
      <w:vertAlign w:val="baseline"/>
    </w:rPr>
  </w:style>
  <w:style w:type="character" w:customStyle="1" w:styleId="21">
    <w:name w:val="Balloon Text Char"/>
    <w:link w:val="4"/>
    <w:semiHidden/>
    <w:qFormat/>
    <w:uiPriority w:val="99"/>
    <w:rPr>
      <w:kern w:val="2"/>
      <w:sz w:val="18"/>
      <w:szCs w:val="18"/>
    </w:rPr>
  </w:style>
  <w:style w:type="character" w:customStyle="1" w:styleId="22">
    <w:name w:val="Comment Text Char"/>
    <w:link w:val="2"/>
    <w:semiHidden/>
    <w:qFormat/>
    <w:uiPriority w:val="99"/>
    <w:rPr>
      <w:kern w:val="2"/>
      <w:sz w:val="21"/>
      <w:szCs w:val="22"/>
    </w:rPr>
  </w:style>
  <w:style w:type="character" w:customStyle="1" w:styleId="23">
    <w:name w:val="Comment Subject Char"/>
    <w:link w:val="8"/>
    <w:semiHidden/>
    <w:qFormat/>
    <w:uiPriority w:val="99"/>
    <w:rPr>
      <w:b/>
      <w:bCs/>
      <w:kern w:val="2"/>
      <w:sz w:val="21"/>
      <w:szCs w:val="22"/>
    </w:rPr>
  </w:style>
  <w:style w:type="paragraph" w:customStyle="1" w:styleId="24">
    <w:name w:val="彩色列表 - 着色 111"/>
    <w:basedOn w:val="1"/>
    <w:qFormat/>
    <w:uiPriority w:val="34"/>
    <w:pPr>
      <w:ind w:firstLine="420" w:firstLineChars="200"/>
    </w:pPr>
  </w:style>
  <w:style w:type="character" w:customStyle="1" w:styleId="25">
    <w:name w:val="Footnote Text Char"/>
    <w:basedOn w:val="11"/>
    <w:link w:val="7"/>
    <w:semiHidden/>
    <w:qFormat/>
    <w:uiPriority w:val="99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176</Words>
  <Characters>1006</Characters>
  <Lines>8</Lines>
  <Paragraphs>2</Paragraphs>
  <TotalTime>7</TotalTime>
  <ScaleCrop>false</ScaleCrop>
  <LinksUpToDate>false</LinksUpToDate>
  <CharactersWithSpaces>1180</CharactersWithSpaces>
  <Application>WPS Office_11.8.2.9695_F1E327BC-269C-435d-A152-05C5408002CA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2022-04-26T14:23:00Z</dcterms:created>
  <dc:creator>user</dc:creator>
  <cp:lastModifiedBy>oa</cp:lastModifiedBy>
  <cp:lastPrinted>2412-01-01T00:00:00Z</cp:lastPrinted>
  <dcterms:modified xsi:type="dcterms:W3CDTF">2022-04-29T10:40:47Z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2052-11.8.2.9695</vt:lpwstr>
  </property>
</Properties>
</file>