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/>
          <w:b/>
          <w:sz w:val="36"/>
          <w:szCs w:val="30"/>
        </w:rPr>
      </w:pPr>
      <w:r>
        <w:rPr>
          <w:rFonts w:hint="eastAsia" w:ascii="Times New Roman" w:hAnsi="Times New Roman" w:eastAsia="仿宋"/>
          <w:b/>
          <w:sz w:val="36"/>
          <w:szCs w:val="30"/>
        </w:rPr>
        <w:t xml:space="preserve"> 经营者集中简易案件公示表</w:t>
      </w:r>
    </w:p>
    <w:p>
      <w:pPr>
        <w:spacing w:line="440" w:lineRule="exact"/>
        <w:jc w:val="center"/>
        <w:rPr>
          <w:rFonts w:ascii="Times New Roman" w:hAnsi="Times New Roman" w:eastAsia="仿宋"/>
          <w:b/>
          <w:sz w:val="36"/>
          <w:szCs w:val="30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Times New Roman" w:hAnsi="Times New Roman" w:eastAsia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Cs/>
                <w:sz w:val="24"/>
                <w:szCs w:val="24"/>
              </w:rPr>
              <w:t>新疆农牧业投资（集团）有限责任公司收购新疆新冀能源化工有限公司股权案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 w:eastAsia="仿宋"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新疆农牧业投资（集团）有限责任公司（以下简称“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新疆农牧业投资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”）拟从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杭州锦江集团有限公司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（以下简称“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杭州锦江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”）收购新疆新冀能源化工有限公司（以下简称“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新疆新冀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”）50.9996%的股权</w:t>
            </w:r>
            <w:r>
              <w:rPr>
                <w:rFonts w:hint="eastAsia" w:ascii="Times New Roman" w:hAnsi="Times New Roman" w:eastAsia="仿宋"/>
                <w:bCs/>
                <w:sz w:val="24"/>
                <w:szCs w:val="24"/>
              </w:rPr>
              <w:t>（以下简称“</w:t>
            </w: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本交易</w:t>
            </w:r>
            <w:r>
              <w:rPr>
                <w:rFonts w:hint="eastAsia" w:ascii="Times New Roman" w:hAnsi="Times New Roman" w:eastAsia="仿宋"/>
                <w:bCs/>
                <w:sz w:val="24"/>
                <w:szCs w:val="24"/>
              </w:rPr>
              <w:t>”）。本交易前，杭州锦江及新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疆绿原国有资本投资运营有限公司（以下简称“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新疆绿原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）</w:t>
            </w:r>
            <w:r>
              <w:rPr>
                <w:rFonts w:hint="eastAsia" w:ascii="Times New Roman" w:hAnsi="Times New Roman" w:eastAsia="仿宋"/>
                <w:bCs/>
                <w:sz w:val="24"/>
                <w:szCs w:val="24"/>
              </w:rPr>
              <w:t>分别持有新疆新冀50.9996%及49.0004%的股权，新疆新冀由杭州锦江单独控制。本交易后，新疆农牧业投资及新疆绿原分别持有新疆新冀50.9996%及49.0004%的股权，并共同控制新疆新冀。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1、新疆农牧业投资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新疆农牧业投资主要业务包括：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水果种植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坚果种植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畜牧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投资，石化产品生产销售等。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2、新疆绿原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hint="eastAsia" w:ascii="Times New Roman" w:hAnsi="Times New Roman" w:eastAsia="仿宋" w:cs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宋体"/>
                <w:spacing w:val="-4"/>
                <w:sz w:val="24"/>
                <w:szCs w:val="24"/>
              </w:rPr>
              <w:t>新疆绿原的主要业务包括：农膜、化肥、其他农畜产品、其他机械设备的收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宋体"/>
                <w:spacing w:val="-4"/>
                <w:sz w:val="24"/>
                <w:szCs w:val="24"/>
              </w:rPr>
              <w:t>购及销售</w:t>
            </w:r>
            <w:r>
              <w:rPr>
                <w:rFonts w:hint="eastAsia" w:ascii="Times New Roman" w:hAnsi="Times New Roman" w:eastAsia="仿宋" w:cs="宋体"/>
                <w:spacing w:val="-4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3、新疆新冀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新疆新冀的主要业务包括：新型水溶复合肥、柴油机尾气处理剂、三聚氰胺的生产制造及销售。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1、相关产品市场：三聚氰胺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相关地域市场：中国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境内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市场份额：新疆农牧业投资[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13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]%；新疆新冀[0-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]%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2、相关产品市场：复合肥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相关地域市场：中国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境内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市场份额：新疆农牧业投资[0-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]% ；新疆新冀[0-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]%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3、相关产品市场：尿素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相关地域市场：中国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境内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</w:t>
            </w:r>
          </w:p>
          <w:p>
            <w:pPr>
              <w:spacing w:line="4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市场份额：新疆农牧业投资[0-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]%</w:t>
            </w:r>
          </w:p>
        </w:tc>
      </w:tr>
    </w:tbl>
    <w:p>
      <w:pPr>
        <w:spacing w:line="60" w:lineRule="exact"/>
        <w:rPr>
          <w:rFonts w:ascii="Times New Roman" w:hAnsi="Times New Roman" w:eastAsia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2CF"/>
    <w:rsid w:val="00001C2F"/>
    <w:rsid w:val="00014472"/>
    <w:rsid w:val="00023F3D"/>
    <w:rsid w:val="00045213"/>
    <w:rsid w:val="000D074D"/>
    <w:rsid w:val="000E5EBE"/>
    <w:rsid w:val="000F68F9"/>
    <w:rsid w:val="0012439E"/>
    <w:rsid w:val="0013534E"/>
    <w:rsid w:val="0014198D"/>
    <w:rsid w:val="001A0A4F"/>
    <w:rsid w:val="001E1369"/>
    <w:rsid w:val="0025612F"/>
    <w:rsid w:val="00266F8C"/>
    <w:rsid w:val="00267ADA"/>
    <w:rsid w:val="002C3BB7"/>
    <w:rsid w:val="002C59E7"/>
    <w:rsid w:val="002E719F"/>
    <w:rsid w:val="00321DEE"/>
    <w:rsid w:val="00374816"/>
    <w:rsid w:val="003927C9"/>
    <w:rsid w:val="003B1E3F"/>
    <w:rsid w:val="00423AF8"/>
    <w:rsid w:val="00426D6D"/>
    <w:rsid w:val="0042731F"/>
    <w:rsid w:val="00432189"/>
    <w:rsid w:val="00433D99"/>
    <w:rsid w:val="00437594"/>
    <w:rsid w:val="004868E1"/>
    <w:rsid w:val="004B36F7"/>
    <w:rsid w:val="004F16E0"/>
    <w:rsid w:val="00551C8B"/>
    <w:rsid w:val="00552D98"/>
    <w:rsid w:val="00554175"/>
    <w:rsid w:val="00566814"/>
    <w:rsid w:val="005B7E8C"/>
    <w:rsid w:val="005E2645"/>
    <w:rsid w:val="0061301F"/>
    <w:rsid w:val="0068678E"/>
    <w:rsid w:val="006D42CF"/>
    <w:rsid w:val="0070432D"/>
    <w:rsid w:val="007203E0"/>
    <w:rsid w:val="007A3088"/>
    <w:rsid w:val="007C2552"/>
    <w:rsid w:val="00831DDD"/>
    <w:rsid w:val="008D11C2"/>
    <w:rsid w:val="00964E70"/>
    <w:rsid w:val="0098689D"/>
    <w:rsid w:val="009B3FBC"/>
    <w:rsid w:val="009C4E67"/>
    <w:rsid w:val="009C55EB"/>
    <w:rsid w:val="009D6DC6"/>
    <w:rsid w:val="00A26783"/>
    <w:rsid w:val="00A3514C"/>
    <w:rsid w:val="00A8243B"/>
    <w:rsid w:val="00A9105D"/>
    <w:rsid w:val="00B26AEA"/>
    <w:rsid w:val="00B30E6E"/>
    <w:rsid w:val="00B761E4"/>
    <w:rsid w:val="00B94C68"/>
    <w:rsid w:val="00BA6AF8"/>
    <w:rsid w:val="00BA7790"/>
    <w:rsid w:val="00BB0929"/>
    <w:rsid w:val="00BC5B05"/>
    <w:rsid w:val="00C27220"/>
    <w:rsid w:val="00C322EE"/>
    <w:rsid w:val="00C34D02"/>
    <w:rsid w:val="00CB486D"/>
    <w:rsid w:val="00CE1E00"/>
    <w:rsid w:val="00CE2ABA"/>
    <w:rsid w:val="00D12B76"/>
    <w:rsid w:val="00D83396"/>
    <w:rsid w:val="00DC6381"/>
    <w:rsid w:val="00DF0FFD"/>
    <w:rsid w:val="00E00BC4"/>
    <w:rsid w:val="00E02888"/>
    <w:rsid w:val="00E64B64"/>
    <w:rsid w:val="00E82E2F"/>
    <w:rsid w:val="00EC39C8"/>
    <w:rsid w:val="00F076F2"/>
    <w:rsid w:val="00F2618D"/>
    <w:rsid w:val="00F400D6"/>
    <w:rsid w:val="00F50A99"/>
    <w:rsid w:val="00FB6089"/>
    <w:rsid w:val="00FC66B6"/>
    <w:rsid w:val="00FE1629"/>
    <w:rsid w:val="00FF2BB2"/>
    <w:rsid w:val="59D415C4"/>
    <w:rsid w:val="5FFC2ACC"/>
    <w:rsid w:val="BF7E57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semiHidden/>
    <w:unhideWhenUsed/>
    <w:qFormat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qFormat/>
    <w:uiPriority w:val="99"/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paragraph" w:customStyle="1" w:styleId="15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184</Words>
  <Characters>1051</Characters>
  <Lines>8</Lines>
  <Paragraphs>2</Paragraphs>
  <TotalTime>32</TotalTime>
  <ScaleCrop>false</ScaleCrop>
  <LinksUpToDate>false</LinksUpToDate>
  <CharactersWithSpaces>1233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2022-03-14T00:50:00Z</dcterms:created>
  <dc:creator>GLO</dc:creator>
  <cp:lastModifiedBy>greatwall</cp:lastModifiedBy>
  <cp:lastPrinted>2017-12-20T18:51:00Z</cp:lastPrinted>
  <dcterms:modified xsi:type="dcterms:W3CDTF">2022-04-08T10:53:36Z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