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ascii="黑体" w:hAnsi="黑体" w:eastAsia="黑体"/>
          <w:sz w:val="36"/>
          <w:szCs w:val="36"/>
        </w:rPr>
      </w:pPr>
      <w:r>
        <w:rPr>
          <w:rFonts w:hint="eastAsia" w:ascii="黑体" w:hAnsi="黑体" w:eastAsia="黑体"/>
          <w:sz w:val="36"/>
          <w:szCs w:val="36"/>
        </w:rPr>
        <w:t>经营者集中简易案件公示表</w:t>
      </w:r>
    </w:p>
    <w:p>
      <w:pPr>
        <w:spacing w:line="440" w:lineRule="exact"/>
        <w:rPr>
          <w:rFonts w:ascii="Times New Roman" w:hAnsi="Times New Roman" w:eastAsia="仿宋_GB2312"/>
          <w:sz w:val="24"/>
          <w:szCs w:val="24"/>
        </w:rPr>
      </w:pPr>
    </w:p>
    <w:tbl>
      <w:tblPr>
        <w:tblStyle w:val="8"/>
        <w:tblW w:w="8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napToGrid w:val="0"/>
              <w:jc w:val="center"/>
              <w:rPr>
                <w:rFonts w:hint="default" w:ascii="Times New Roman" w:hAnsi="Times New Roman" w:cs="Times New Roman"/>
                <w:b/>
                <w:kern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>
            <w:pPr>
              <w:snapToGrid w:val="0"/>
              <w:rPr>
                <w:rFonts w:hint="default"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Cs/>
                <w:kern w:val="0"/>
                <w:sz w:val="24"/>
                <w:szCs w:val="24"/>
              </w:rPr>
              <w:t>胜科能源投资（上海）有限公司收购广宗县国瑞能源有限公司等3家公司股权案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  <w:jc w:val="center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napToGrid w:val="0"/>
              <w:jc w:val="center"/>
              <w:rPr>
                <w:rFonts w:hint="default" w:ascii="Times New Roman" w:hAnsi="Times New Roman" w:cs="Times New Roman"/>
                <w:b/>
                <w:kern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kern w:val="0"/>
                <w:sz w:val="24"/>
                <w:szCs w:val="24"/>
              </w:rPr>
              <w:t>交易概况</w:t>
            </w:r>
          </w:p>
          <w:p>
            <w:pPr>
              <w:snapToGrid w:val="0"/>
              <w:jc w:val="center"/>
              <w:rPr>
                <w:rFonts w:hint="default" w:ascii="Times New Roman" w:hAnsi="Times New Roman" w:cs="Times New Roman"/>
                <w:b/>
                <w:kern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kern w:val="0"/>
                <w:sz w:val="24"/>
                <w:szCs w:val="24"/>
              </w:rPr>
              <w:t>（限200字内）</w:t>
            </w:r>
          </w:p>
        </w:tc>
        <w:tc>
          <w:tcPr>
            <w:tcW w:w="6949" w:type="dxa"/>
            <w:gridSpan w:val="2"/>
          </w:tcPr>
          <w:p>
            <w:pPr>
              <w:snapToGrid w:val="0"/>
              <w:rPr>
                <w:rFonts w:hint="eastAsia" w:ascii="Times New Roman" w:hAnsi="Times New Roman" w:eastAsia="宋体" w:cs="Times New Roman"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cs="Times New Roman"/>
                <w:bCs/>
                <w:kern w:val="0"/>
                <w:sz w:val="24"/>
                <w:szCs w:val="24"/>
              </w:rPr>
              <w:t>北京能源国际投资有限公司（“</w:t>
            </w:r>
            <w:r>
              <w:rPr>
                <w:rFonts w:hint="default" w:ascii="Times New Roman" w:hAnsi="Times New Roman" w:cs="Times New Roman"/>
                <w:b/>
                <w:kern w:val="0"/>
                <w:sz w:val="24"/>
                <w:szCs w:val="24"/>
              </w:rPr>
              <w:t>京能投资</w:t>
            </w:r>
            <w:r>
              <w:rPr>
                <w:rFonts w:hint="default" w:ascii="Times New Roman" w:hAnsi="Times New Roman" w:cs="Times New Roman"/>
                <w:bCs/>
                <w:kern w:val="0"/>
                <w:sz w:val="24"/>
                <w:szCs w:val="24"/>
              </w:rPr>
              <w:t>”）</w:t>
            </w:r>
            <w:r>
              <w:rPr>
                <w:rFonts w:hint="default" w:ascii="Times New Roman" w:hAnsi="Times New Roman" w:cs="Times New Roman"/>
                <w:kern w:val="0"/>
                <w:sz w:val="24"/>
                <w:szCs w:val="24"/>
              </w:rPr>
              <w:t>与</w:t>
            </w:r>
            <w:r>
              <w:rPr>
                <w:rFonts w:hint="default" w:ascii="Times New Roman" w:hAnsi="Times New Roman" w:cs="Times New Roman"/>
                <w:bCs/>
                <w:kern w:val="0"/>
                <w:sz w:val="24"/>
                <w:szCs w:val="24"/>
              </w:rPr>
              <w:t>胜科能源投资（上海）有限公司（“</w:t>
            </w:r>
            <w:r>
              <w:rPr>
                <w:rFonts w:hint="default" w:ascii="Times New Roman" w:hAnsi="Times New Roman" w:cs="Times New Roman"/>
                <w:b/>
                <w:kern w:val="0"/>
                <w:sz w:val="24"/>
                <w:szCs w:val="24"/>
              </w:rPr>
              <w:t>胜科能源</w:t>
            </w:r>
            <w:r>
              <w:rPr>
                <w:rFonts w:hint="default" w:ascii="Times New Roman" w:hAnsi="Times New Roman" w:cs="Times New Roman"/>
                <w:bCs/>
                <w:kern w:val="0"/>
                <w:sz w:val="24"/>
                <w:szCs w:val="24"/>
              </w:rPr>
              <w:t>”）</w:t>
            </w:r>
            <w:r>
              <w:rPr>
                <w:rFonts w:hint="eastAsia" w:ascii="Times New Roman" w:hAnsi="Times New Roman" w:cs="Times New Roman"/>
                <w:bCs/>
                <w:kern w:val="0"/>
                <w:sz w:val="24"/>
                <w:szCs w:val="24"/>
                <w:lang w:eastAsia="zh-CN"/>
              </w:rPr>
              <w:t>签署协议，</w:t>
            </w:r>
            <w:r>
              <w:rPr>
                <w:rFonts w:hint="default" w:ascii="Times New Roman" w:hAnsi="Times New Roman" w:cs="Times New Roman"/>
                <w:bCs/>
                <w:kern w:val="0"/>
                <w:sz w:val="24"/>
                <w:szCs w:val="24"/>
              </w:rPr>
              <w:t>胜科能源</w:t>
            </w:r>
            <w:r>
              <w:rPr>
                <w:rFonts w:hint="eastAsia" w:ascii="Times New Roman" w:hAnsi="Times New Roman" w:cs="Times New Roman"/>
                <w:bCs/>
                <w:kern w:val="0"/>
                <w:sz w:val="24"/>
                <w:szCs w:val="24"/>
                <w:lang w:eastAsia="zh-CN"/>
              </w:rPr>
              <w:t>收购</w:t>
            </w:r>
            <w:r>
              <w:rPr>
                <w:rFonts w:hint="default" w:ascii="Times New Roman" w:hAnsi="Times New Roman" w:cs="Times New Roman"/>
                <w:bCs/>
                <w:kern w:val="0"/>
                <w:sz w:val="24"/>
                <w:szCs w:val="24"/>
              </w:rPr>
              <w:t>京能投资</w:t>
            </w:r>
            <w:r>
              <w:rPr>
                <w:rFonts w:hint="eastAsia" w:ascii="Times New Roman" w:hAnsi="Times New Roman" w:cs="Times New Roman"/>
                <w:bCs/>
                <w:kern w:val="0"/>
                <w:sz w:val="24"/>
                <w:szCs w:val="24"/>
                <w:lang w:eastAsia="zh-CN"/>
              </w:rPr>
              <w:t>所单独控制的</w:t>
            </w:r>
            <w:r>
              <w:rPr>
                <w:rFonts w:hint="default" w:ascii="Times New Roman" w:hAnsi="Times New Roman" w:cs="Times New Roman"/>
                <w:kern w:val="0"/>
                <w:sz w:val="24"/>
                <w:szCs w:val="24"/>
              </w:rPr>
              <w:t>3家项目公司</w:t>
            </w:r>
            <w:r>
              <w:rPr>
                <w:rFonts w:hint="default" w:ascii="Times New Roman" w:hAnsi="Times New Roman" w:cs="Times New Roman"/>
                <w:kern w:val="0"/>
                <w:sz w:val="24"/>
                <w:szCs w:val="24"/>
                <w:lang w:eastAsia="zh-CN"/>
              </w:rPr>
              <w:t>（</w:t>
            </w:r>
            <w:r>
              <w:rPr>
                <w:rFonts w:hint="default" w:ascii="Times New Roman" w:hAnsi="Times New Roman" w:cs="Times New Roman"/>
                <w:bCs/>
                <w:kern w:val="0"/>
                <w:sz w:val="24"/>
                <w:szCs w:val="24"/>
              </w:rPr>
              <w:t>广宗县国瑞能源有限公司</w:t>
            </w:r>
            <w:r>
              <w:rPr>
                <w:rFonts w:hint="default" w:ascii="Times New Roman" w:hAnsi="Times New Roman" w:cs="Times New Roman"/>
                <w:bCs/>
                <w:kern w:val="0"/>
                <w:sz w:val="24"/>
                <w:szCs w:val="24"/>
                <w:lang w:eastAsia="zh-CN"/>
              </w:rPr>
              <w:t>、隆尧县国昌新能源有限公司、南宫市国顺新能源有限公司</w:t>
            </w:r>
            <w:r>
              <w:rPr>
                <w:rFonts w:hint="default" w:ascii="Times New Roman" w:hAnsi="Times New Roman" w:cs="Times New Roman"/>
                <w:kern w:val="0"/>
                <w:sz w:val="24"/>
                <w:szCs w:val="24"/>
                <w:lang w:eastAsia="zh-CN"/>
              </w:rPr>
              <w:t>）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  <w:lang w:val="en-US" w:eastAsia="zh-CN"/>
              </w:rPr>
              <w:t>49%股权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  <w:lang w:eastAsia="zh-CN"/>
              </w:rPr>
              <w:t>，</w:t>
            </w:r>
          </w:p>
          <w:p>
            <w:pPr>
              <w:snapToGrid w:val="0"/>
              <w:rPr>
                <w:rFonts w:hint="default"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kern w:val="0"/>
                <w:sz w:val="24"/>
                <w:szCs w:val="24"/>
              </w:rPr>
              <w:t>3家项目公司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  <w:lang w:eastAsia="zh-CN"/>
              </w:rPr>
              <w:t>主要在</w:t>
            </w:r>
            <w:r>
              <w:rPr>
                <w:rFonts w:hint="default" w:ascii="Times New Roman" w:hAnsi="Times New Roman" w:cs="Times New Roman"/>
                <w:kern w:val="0"/>
                <w:sz w:val="24"/>
                <w:szCs w:val="24"/>
              </w:rPr>
              <w:t>中国境内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  <w:lang w:eastAsia="zh-CN"/>
              </w:rPr>
              <w:t>从事</w:t>
            </w:r>
            <w:r>
              <w:rPr>
                <w:rFonts w:hint="default" w:ascii="Times New Roman" w:hAnsi="Times New Roman" w:cs="Times New Roman"/>
                <w:kern w:val="0"/>
                <w:sz w:val="24"/>
                <w:szCs w:val="24"/>
              </w:rPr>
              <w:t>光伏发电、风力发电和储能等新能源项目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  <w:lang w:eastAsia="zh-CN"/>
              </w:rPr>
              <w:t>的</w:t>
            </w:r>
            <w:r>
              <w:rPr>
                <w:rFonts w:hint="default" w:ascii="Times New Roman" w:hAnsi="Times New Roman" w:cs="Times New Roman"/>
                <w:kern w:val="0"/>
                <w:sz w:val="24"/>
                <w:szCs w:val="24"/>
              </w:rPr>
              <w:t>开发、运营和管理。</w:t>
            </w:r>
          </w:p>
          <w:p>
            <w:pPr>
              <w:snapToGrid w:val="0"/>
              <w:rPr>
                <w:rFonts w:hint="default"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  <w:lang w:eastAsia="zh-CN"/>
              </w:rPr>
              <w:t>交易前，</w:t>
            </w:r>
            <w:r>
              <w:rPr>
                <w:rFonts w:hint="default" w:ascii="Times New Roman" w:hAnsi="Times New Roman" w:cs="Times New Roman"/>
                <w:bCs/>
                <w:kern w:val="0"/>
                <w:sz w:val="24"/>
                <w:szCs w:val="24"/>
              </w:rPr>
              <w:t>京能投资</w:t>
            </w:r>
            <w:r>
              <w:rPr>
                <w:rFonts w:hint="eastAsia" w:ascii="Times New Roman" w:hAnsi="Times New Roman" w:cs="Times New Roman"/>
                <w:bCs/>
                <w:kern w:val="0"/>
                <w:sz w:val="24"/>
                <w:szCs w:val="24"/>
                <w:lang w:eastAsia="zh-CN"/>
              </w:rPr>
              <w:t>分别持有</w:t>
            </w:r>
            <w:r>
              <w:rPr>
                <w:rFonts w:hint="default" w:ascii="Times New Roman" w:hAnsi="Times New Roman" w:cs="Times New Roman"/>
                <w:kern w:val="0"/>
                <w:sz w:val="24"/>
                <w:szCs w:val="24"/>
              </w:rPr>
              <w:t>3家项目公司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  <w:lang w:val="en-US" w:eastAsia="zh-CN"/>
              </w:rPr>
              <w:t>9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4"/>
                <w:szCs w:val="24"/>
                <w:lang w:val="en-US" w:eastAsia="zh-CN"/>
              </w:rPr>
              <w:t>9.83%的股份。</w:t>
            </w:r>
            <w:r>
              <w:rPr>
                <w:rFonts w:hint="default" w:ascii="Times New Roman" w:hAnsi="Times New Roman" w:eastAsia="宋体" w:cs="Times New Roman"/>
                <w:bCs/>
                <w:kern w:val="0"/>
                <w:sz w:val="24"/>
                <w:szCs w:val="24"/>
                <w:lang w:eastAsia="zh-CN"/>
              </w:rPr>
              <w:t>交易完成后，京能投资将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4"/>
                <w:szCs w:val="24"/>
                <w:lang w:eastAsia="zh-CN"/>
              </w:rPr>
              <w:t>分别</w:t>
            </w:r>
            <w:r>
              <w:rPr>
                <w:rFonts w:hint="default" w:ascii="Times New Roman" w:hAnsi="Times New Roman" w:eastAsia="宋体" w:cs="Times New Roman"/>
                <w:bCs/>
                <w:kern w:val="0"/>
                <w:sz w:val="24"/>
                <w:szCs w:val="24"/>
                <w:lang w:eastAsia="zh-CN"/>
              </w:rPr>
              <w:t>持有3家项目公司51%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4"/>
                <w:szCs w:val="24"/>
                <w:lang w:val="en-US" w:eastAsia="zh-CN"/>
              </w:rPr>
              <w:t>的股份</w:t>
            </w:r>
            <w:r>
              <w:rPr>
                <w:rFonts w:hint="default" w:ascii="Times New Roman" w:hAnsi="Times New Roman" w:eastAsia="宋体" w:cs="Times New Roman"/>
                <w:bCs/>
                <w:kern w:val="0"/>
                <w:sz w:val="24"/>
                <w:szCs w:val="24"/>
                <w:lang w:eastAsia="zh-CN"/>
              </w:rPr>
              <w:t>，胜科能源将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4"/>
                <w:szCs w:val="24"/>
                <w:lang w:eastAsia="zh-CN"/>
              </w:rPr>
              <w:t>分别</w:t>
            </w:r>
            <w:r>
              <w:rPr>
                <w:rFonts w:hint="default" w:ascii="Times New Roman" w:hAnsi="Times New Roman" w:eastAsia="宋体" w:cs="Times New Roman"/>
                <w:bCs/>
                <w:kern w:val="0"/>
                <w:sz w:val="24"/>
                <w:szCs w:val="24"/>
                <w:lang w:eastAsia="zh-CN"/>
              </w:rPr>
              <w:t>持有3家项目公司49%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24"/>
                <w:szCs w:val="24"/>
                <w:lang w:val="en-US" w:eastAsia="zh-CN"/>
              </w:rPr>
              <w:t>的股份</w:t>
            </w:r>
            <w:r>
              <w:rPr>
                <w:rFonts w:hint="default" w:ascii="Times New Roman" w:hAnsi="Times New Roman" w:eastAsia="宋体" w:cs="Times New Roman"/>
                <w:bCs/>
                <w:kern w:val="0"/>
                <w:sz w:val="24"/>
                <w:szCs w:val="24"/>
                <w:lang w:eastAsia="zh-CN"/>
              </w:rPr>
              <w:t>，京能投资和胜科能源将对3家项目公司实现共同控制。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napToGrid w:val="0"/>
              <w:jc w:val="center"/>
              <w:rPr>
                <w:rFonts w:hint="default" w:ascii="Times New Roman" w:hAnsi="Times New Roman" w:cs="Times New Roman"/>
                <w:b/>
                <w:kern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kern w:val="0"/>
                <w:sz w:val="24"/>
                <w:szCs w:val="24"/>
              </w:rPr>
              <w:t>参与集中的</w:t>
            </w:r>
          </w:p>
          <w:p>
            <w:pPr>
              <w:snapToGrid w:val="0"/>
              <w:jc w:val="center"/>
              <w:rPr>
                <w:rFonts w:hint="default" w:ascii="Times New Roman" w:hAnsi="Times New Roman" w:cs="Times New Roman"/>
                <w:b/>
                <w:kern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1796" w:type="dxa"/>
          </w:tcPr>
          <w:p>
            <w:pPr>
              <w:snapToGrid w:val="0"/>
              <w:rPr>
                <w:rFonts w:hint="default"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kern w:val="0"/>
                <w:sz w:val="24"/>
                <w:szCs w:val="24"/>
              </w:rPr>
              <w:t>1、京能投资</w:t>
            </w:r>
          </w:p>
        </w:tc>
        <w:tc>
          <w:tcPr>
            <w:tcW w:w="5153" w:type="dxa"/>
          </w:tcPr>
          <w:p>
            <w:pPr>
              <w:snapToGrid w:val="0"/>
              <w:rPr>
                <w:rFonts w:hint="default"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kern w:val="0"/>
                <w:sz w:val="24"/>
                <w:szCs w:val="24"/>
              </w:rPr>
              <w:t>京能投资于2009年9月1日成立于中国香港，主要业务范围涵盖光伏发电、风能、氢能、储能、综合能源等清洁能源全产业链。</w:t>
            </w:r>
          </w:p>
          <w:p>
            <w:pPr>
              <w:snapToGrid w:val="0"/>
              <w:rPr>
                <w:rFonts w:hint="default"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kern w:val="0"/>
                <w:sz w:val="24"/>
                <w:szCs w:val="24"/>
              </w:rPr>
              <w:t>京能投资最终控制人为北京能源集团有限责任公司，主要业务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  <w:lang w:eastAsia="zh-CN"/>
              </w:rPr>
              <w:t>为</w:t>
            </w:r>
            <w:r>
              <w:rPr>
                <w:rFonts w:hint="default" w:ascii="Times New Roman" w:hAnsi="Times New Roman" w:cs="Times New Roman"/>
                <w:kern w:val="0"/>
                <w:sz w:val="24"/>
                <w:szCs w:val="24"/>
              </w:rPr>
              <w:t>热力、电力、煤炭、健康文旅等。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7" w:hRule="atLeast"/>
          <w:jc w:val="center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napToGrid w:val="0"/>
              <w:jc w:val="center"/>
              <w:rPr>
                <w:rFonts w:hint="default" w:ascii="Times New Roman" w:hAnsi="Times New Roman" w:cs="Times New Roman"/>
                <w:b/>
                <w:kern w:val="0"/>
                <w:sz w:val="24"/>
                <w:szCs w:val="24"/>
              </w:rPr>
            </w:pPr>
          </w:p>
        </w:tc>
        <w:tc>
          <w:tcPr>
            <w:tcW w:w="1796" w:type="dxa"/>
          </w:tcPr>
          <w:p>
            <w:pPr>
              <w:snapToGrid w:val="0"/>
              <w:rPr>
                <w:rFonts w:hint="default"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kern w:val="0"/>
                <w:sz w:val="24"/>
                <w:szCs w:val="24"/>
              </w:rPr>
              <w:t>2、胜科能源</w:t>
            </w:r>
          </w:p>
          <w:p>
            <w:pPr>
              <w:snapToGrid w:val="0"/>
              <w:rPr>
                <w:rFonts w:hint="default"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5153" w:type="dxa"/>
          </w:tcPr>
          <w:p>
            <w:pPr>
              <w:snapToGrid w:val="0"/>
              <w:rPr>
                <w:rFonts w:hint="default"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kern w:val="0"/>
                <w:sz w:val="24"/>
                <w:szCs w:val="24"/>
              </w:rPr>
              <w:t>胜科能源于2020年12月3日成立于中国上海市，主要业务为投资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  <w:lang w:eastAsia="zh-CN"/>
              </w:rPr>
              <w:t>，</w:t>
            </w:r>
            <w:r>
              <w:rPr>
                <w:rFonts w:hint="default" w:ascii="Times New Roman" w:hAnsi="Times New Roman" w:cs="Times New Roman"/>
                <w:kern w:val="0"/>
                <w:sz w:val="24"/>
                <w:szCs w:val="24"/>
              </w:rPr>
              <w:t>协助或代理其所投资的企业从国内采购企业自用的机器设备、办公设备、生产设备等；为其所投资企业提供培训；为投资方提供咨询服务；承接外包业务等。</w:t>
            </w:r>
          </w:p>
          <w:p>
            <w:pPr>
              <w:snapToGrid w:val="0"/>
              <w:rPr>
                <w:rFonts w:hint="default"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kern w:val="0"/>
                <w:sz w:val="24"/>
                <w:szCs w:val="24"/>
              </w:rPr>
              <w:t>胜科能源最终控制人为胜科工业有限公司，主要业务为天然气与电力、可再生能源与环境、商用能源与零售等业务。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  <w:jc w:val="center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napToGrid w:val="0"/>
              <w:jc w:val="center"/>
              <w:rPr>
                <w:rFonts w:hint="default" w:ascii="Times New Roman" w:hAnsi="Times New Roman" w:cs="Times New Roman"/>
                <w:b/>
                <w:kern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  <w:vAlign w:val="center"/>
          </w:tcPr>
          <w:p>
            <w:pPr>
              <w:snapToGrid w:val="0"/>
              <w:rPr>
                <w:rFonts w:hint="default"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kern w:val="0"/>
                <w:sz w:val="24"/>
                <w:szCs w:val="24"/>
              </w:rPr>
              <w:sym w:font="Wingdings" w:char="F0FE"/>
            </w:r>
            <w:r>
              <w:rPr>
                <w:rFonts w:hint="default" w:ascii="Times New Roman" w:hAnsi="Times New Roman" w:cs="Times New Roman"/>
                <w:kern w:val="0"/>
                <w:sz w:val="24"/>
                <w:szCs w:val="24"/>
              </w:rPr>
              <w:t>1.在同一相关市场，所有参与集中的经营者所占市场份额之和小于15%。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napToGrid w:val="0"/>
              <w:jc w:val="center"/>
              <w:rPr>
                <w:rFonts w:hint="default" w:ascii="Times New Roman" w:hAnsi="Times New Roman" w:cs="Times New Roman"/>
                <w:b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>
            <w:pPr>
              <w:snapToGrid w:val="0"/>
              <w:rPr>
                <w:rFonts w:hint="default"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kern w:val="0"/>
                <w:sz w:val="24"/>
                <w:szCs w:val="24"/>
              </w:rPr>
              <w:t>□2.存在上下游关系的参与集中的经营者，在上下游市场所占的市场份额均小于25%。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napToGrid w:val="0"/>
              <w:jc w:val="center"/>
              <w:rPr>
                <w:rFonts w:hint="default" w:ascii="Times New Roman" w:hAnsi="Times New Roman" w:cs="Times New Roman"/>
                <w:b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>
            <w:pPr>
              <w:snapToGrid w:val="0"/>
              <w:rPr>
                <w:rFonts w:hint="default"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kern w:val="0"/>
                <w:sz w:val="24"/>
                <w:szCs w:val="24"/>
              </w:rPr>
              <w:t>□3.不在同一相关市场、也不存在上下游关系的参与集中的经营者，在与交易有关的每个市场所占的份额均小于25%。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  <w:jc w:val="center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napToGrid w:val="0"/>
              <w:jc w:val="center"/>
              <w:rPr>
                <w:rFonts w:hint="default" w:ascii="Times New Roman" w:hAnsi="Times New Roman" w:cs="Times New Roman"/>
                <w:b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>
            <w:pPr>
              <w:snapToGrid w:val="0"/>
              <w:rPr>
                <w:rFonts w:hint="default"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kern w:val="0"/>
                <w:sz w:val="24"/>
                <w:szCs w:val="24"/>
              </w:rPr>
              <w:t>□4.参与集中的经营者在中国境外设立合营企业，合营企业不在中国境内从事经济活动。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  <w:jc w:val="center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napToGrid w:val="0"/>
              <w:jc w:val="center"/>
              <w:rPr>
                <w:rFonts w:hint="default" w:ascii="Times New Roman" w:hAnsi="Times New Roman" w:cs="Times New Roman"/>
                <w:b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>
            <w:pPr>
              <w:snapToGrid w:val="0"/>
              <w:rPr>
                <w:rFonts w:hint="default"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kern w:val="0"/>
                <w:sz w:val="24"/>
                <w:szCs w:val="24"/>
              </w:rPr>
              <w:t>□5.参与集中的经营者收购境外企业股权或资产的，该境外企业不在中国境内从事经济活动。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  <w:jc w:val="center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napToGrid w:val="0"/>
              <w:jc w:val="center"/>
              <w:rPr>
                <w:rFonts w:hint="default" w:ascii="Times New Roman" w:hAnsi="Times New Roman" w:cs="Times New Roman"/>
                <w:b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>
            <w:pPr>
              <w:snapToGrid w:val="0"/>
              <w:rPr>
                <w:rFonts w:hint="default"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kern w:val="0"/>
                <w:sz w:val="24"/>
                <w:szCs w:val="24"/>
              </w:rPr>
              <w:t>□6.由两个以上的经营者共同控制的合营企业，通过集中被其中一个或一个以上经营者控制。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napToGrid w:val="0"/>
              <w:jc w:val="center"/>
              <w:rPr>
                <w:rFonts w:hint="default" w:ascii="Times New Roman" w:hAnsi="Times New Roman" w:cs="Times New Roman"/>
                <w:b/>
                <w:kern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snapToGrid w:val="0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横向重叠：</w:t>
            </w:r>
          </w:p>
          <w:p>
            <w:pPr>
              <w:snapToGrid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2021年中国境内光伏发电市场：</w:t>
            </w:r>
          </w:p>
          <w:p>
            <w:pPr>
              <w:snapToGrid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京能投资：0-5%，胜科能源：0-5%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eastAsia="zh-CN"/>
              </w:rPr>
              <w:t>，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各方合计：0-5%</w:t>
            </w:r>
            <w:bookmarkStart w:id="0" w:name="_GoBack"/>
            <w:bookmarkEnd w:id="0"/>
          </w:p>
        </w:tc>
      </w:tr>
    </w:tbl>
    <w:p>
      <w:pPr>
        <w:rPr>
          <w:rFonts w:ascii="Times New Roman" w:hAnsi="Times New Roman" w:eastAsia="仿宋_GB2312"/>
          <w:sz w:val="24"/>
          <w:szCs w:val="24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宋简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仿宋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Liberation Serif">
    <w:panose1 w:val="02020603050405020304"/>
    <w:charset w:val="00"/>
    <w:family w:val="auto"/>
    <w:pitch w:val="default"/>
    <w:sig w:usb0="A00002AF" w:usb1="500078FB" w:usb2="00000000" w:usb3="00000000" w:csb0="6000009F" w:csb1="DFD7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134765672"/>
      <w:docPartObj>
        <w:docPartGallery w:val="autotext"/>
      </w:docPartObj>
    </w:sdtPr>
    <w:sdtEndPr>
      <w:rPr>
        <w:rFonts w:ascii="Times New Roman" w:hAnsi="Times New Roman"/>
      </w:rPr>
    </w:sdtEndPr>
    <w:sdtContent>
      <w:p>
        <w:pPr>
          <w:pStyle w:val="4"/>
          <w:jc w:val="center"/>
          <w:rPr>
            <w:rFonts w:ascii="Times New Roman" w:hAnsi="Times New Roman"/>
          </w:rPr>
        </w:pPr>
        <w:r>
          <w:rPr>
            <w:rFonts w:ascii="Times New Roman" w:hAnsi="Times New Roman"/>
          </w:rPr>
          <w:fldChar w:fldCharType="begin"/>
        </w:r>
        <w:r>
          <w:rPr>
            <w:rFonts w:ascii="Times New Roman" w:hAnsi="Times New Roman"/>
          </w:rPr>
          <w:instrText xml:space="preserve">PAGE   \* MERGEFORMAT</w:instrText>
        </w:r>
        <w:r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  <w:lang w:val="zh-CN"/>
          </w:rPr>
          <w:t>2</w:t>
        </w:r>
        <w:r>
          <w:rPr>
            <w:rFonts w:ascii="Times New Roman" w:hAnsi="Times New Roman"/>
          </w:rPr>
          <w:fldChar w:fldCharType="end"/>
        </w:r>
      </w:p>
    </w:sdtContent>
  </w:sdt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true"/>
  <w:bordersDoNotSurroundHeader w:val="true"/>
  <w:bordersDoNotSurroundFooter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33895"/>
    <w:rsid w:val="00037065"/>
    <w:rsid w:val="000466E0"/>
    <w:rsid w:val="000573A0"/>
    <w:rsid w:val="00066D65"/>
    <w:rsid w:val="00071BFC"/>
    <w:rsid w:val="00075107"/>
    <w:rsid w:val="00075415"/>
    <w:rsid w:val="00090E61"/>
    <w:rsid w:val="00091EAA"/>
    <w:rsid w:val="00092322"/>
    <w:rsid w:val="0009269A"/>
    <w:rsid w:val="000A4AFE"/>
    <w:rsid w:val="000C375C"/>
    <w:rsid w:val="000C6931"/>
    <w:rsid w:val="000C6C2B"/>
    <w:rsid w:val="000D7EBA"/>
    <w:rsid w:val="000F322A"/>
    <w:rsid w:val="00100A6A"/>
    <w:rsid w:val="0010373F"/>
    <w:rsid w:val="00106F60"/>
    <w:rsid w:val="001164CD"/>
    <w:rsid w:val="001369F7"/>
    <w:rsid w:val="001432DA"/>
    <w:rsid w:val="00143EBB"/>
    <w:rsid w:val="00146747"/>
    <w:rsid w:val="00155717"/>
    <w:rsid w:val="001837A3"/>
    <w:rsid w:val="00197A2E"/>
    <w:rsid w:val="001A2243"/>
    <w:rsid w:val="001A3B16"/>
    <w:rsid w:val="001B5FAB"/>
    <w:rsid w:val="001D3A8B"/>
    <w:rsid w:val="001E032B"/>
    <w:rsid w:val="001E3778"/>
    <w:rsid w:val="001F485A"/>
    <w:rsid w:val="00213584"/>
    <w:rsid w:val="00213BCA"/>
    <w:rsid w:val="002360E4"/>
    <w:rsid w:val="00242C6D"/>
    <w:rsid w:val="00245C4A"/>
    <w:rsid w:val="00256AD5"/>
    <w:rsid w:val="002653C3"/>
    <w:rsid w:val="00291B72"/>
    <w:rsid w:val="00296284"/>
    <w:rsid w:val="002B1946"/>
    <w:rsid w:val="002C68F9"/>
    <w:rsid w:val="002D6381"/>
    <w:rsid w:val="002E7063"/>
    <w:rsid w:val="002F5FB6"/>
    <w:rsid w:val="00300479"/>
    <w:rsid w:val="00304FC9"/>
    <w:rsid w:val="003057C5"/>
    <w:rsid w:val="003166E5"/>
    <w:rsid w:val="00334943"/>
    <w:rsid w:val="003437DF"/>
    <w:rsid w:val="0034397F"/>
    <w:rsid w:val="00356A86"/>
    <w:rsid w:val="00356ED8"/>
    <w:rsid w:val="003578D8"/>
    <w:rsid w:val="003802E6"/>
    <w:rsid w:val="003842C8"/>
    <w:rsid w:val="00397794"/>
    <w:rsid w:val="003B7536"/>
    <w:rsid w:val="003C0AEB"/>
    <w:rsid w:val="003D1482"/>
    <w:rsid w:val="003E625A"/>
    <w:rsid w:val="003F6AF9"/>
    <w:rsid w:val="00401449"/>
    <w:rsid w:val="00406639"/>
    <w:rsid w:val="00412831"/>
    <w:rsid w:val="004341AC"/>
    <w:rsid w:val="00444F82"/>
    <w:rsid w:val="00445B23"/>
    <w:rsid w:val="004703CF"/>
    <w:rsid w:val="00470BB7"/>
    <w:rsid w:val="00471606"/>
    <w:rsid w:val="00473FFB"/>
    <w:rsid w:val="004D113C"/>
    <w:rsid w:val="004F431A"/>
    <w:rsid w:val="004F7688"/>
    <w:rsid w:val="00516F69"/>
    <w:rsid w:val="00521578"/>
    <w:rsid w:val="00533330"/>
    <w:rsid w:val="00540581"/>
    <w:rsid w:val="00543AB8"/>
    <w:rsid w:val="00543E6D"/>
    <w:rsid w:val="00544AE7"/>
    <w:rsid w:val="00544B57"/>
    <w:rsid w:val="00554FE3"/>
    <w:rsid w:val="00561070"/>
    <w:rsid w:val="00570C12"/>
    <w:rsid w:val="005805C6"/>
    <w:rsid w:val="00590ABB"/>
    <w:rsid w:val="00592EE3"/>
    <w:rsid w:val="005C1EC7"/>
    <w:rsid w:val="005D71A2"/>
    <w:rsid w:val="005E7BF0"/>
    <w:rsid w:val="006024A4"/>
    <w:rsid w:val="0060614B"/>
    <w:rsid w:val="006216D1"/>
    <w:rsid w:val="00622B78"/>
    <w:rsid w:val="00623B27"/>
    <w:rsid w:val="006467D8"/>
    <w:rsid w:val="00663C0D"/>
    <w:rsid w:val="00666E66"/>
    <w:rsid w:val="006737E4"/>
    <w:rsid w:val="00682905"/>
    <w:rsid w:val="006833DD"/>
    <w:rsid w:val="00692C2C"/>
    <w:rsid w:val="006946D9"/>
    <w:rsid w:val="006A531B"/>
    <w:rsid w:val="006A708C"/>
    <w:rsid w:val="006B75D5"/>
    <w:rsid w:val="006D0CC6"/>
    <w:rsid w:val="006D2AB9"/>
    <w:rsid w:val="006D3DBE"/>
    <w:rsid w:val="006E2CCB"/>
    <w:rsid w:val="006E36E1"/>
    <w:rsid w:val="006F7114"/>
    <w:rsid w:val="006F7693"/>
    <w:rsid w:val="00707503"/>
    <w:rsid w:val="007100F0"/>
    <w:rsid w:val="00710140"/>
    <w:rsid w:val="00725292"/>
    <w:rsid w:val="007327A7"/>
    <w:rsid w:val="00734DD3"/>
    <w:rsid w:val="00742A25"/>
    <w:rsid w:val="007437F1"/>
    <w:rsid w:val="007703E0"/>
    <w:rsid w:val="00773E9E"/>
    <w:rsid w:val="007922FF"/>
    <w:rsid w:val="007A79D2"/>
    <w:rsid w:val="007B5BF3"/>
    <w:rsid w:val="007B6176"/>
    <w:rsid w:val="007B7C77"/>
    <w:rsid w:val="007F2275"/>
    <w:rsid w:val="007F33A5"/>
    <w:rsid w:val="00800C3E"/>
    <w:rsid w:val="00801DA7"/>
    <w:rsid w:val="0080318B"/>
    <w:rsid w:val="00805438"/>
    <w:rsid w:val="00821005"/>
    <w:rsid w:val="008253A4"/>
    <w:rsid w:val="008350F4"/>
    <w:rsid w:val="00837B65"/>
    <w:rsid w:val="00847180"/>
    <w:rsid w:val="00847AF1"/>
    <w:rsid w:val="00861207"/>
    <w:rsid w:val="0087475A"/>
    <w:rsid w:val="0088767E"/>
    <w:rsid w:val="00890C40"/>
    <w:rsid w:val="008A1512"/>
    <w:rsid w:val="008A4111"/>
    <w:rsid w:val="008D542A"/>
    <w:rsid w:val="008E1DBF"/>
    <w:rsid w:val="009010DC"/>
    <w:rsid w:val="0090697E"/>
    <w:rsid w:val="009135C8"/>
    <w:rsid w:val="00915F0F"/>
    <w:rsid w:val="00920546"/>
    <w:rsid w:val="009216CE"/>
    <w:rsid w:val="009221E2"/>
    <w:rsid w:val="009271A0"/>
    <w:rsid w:val="00927FC5"/>
    <w:rsid w:val="00942700"/>
    <w:rsid w:val="009532DF"/>
    <w:rsid w:val="009708BB"/>
    <w:rsid w:val="009727D9"/>
    <w:rsid w:val="00975C84"/>
    <w:rsid w:val="0098648E"/>
    <w:rsid w:val="00993C94"/>
    <w:rsid w:val="00997019"/>
    <w:rsid w:val="009A5029"/>
    <w:rsid w:val="009B0331"/>
    <w:rsid w:val="009C4191"/>
    <w:rsid w:val="009D38D5"/>
    <w:rsid w:val="009D5152"/>
    <w:rsid w:val="009F5E8E"/>
    <w:rsid w:val="00A040C7"/>
    <w:rsid w:val="00A128C6"/>
    <w:rsid w:val="00A53F26"/>
    <w:rsid w:val="00A62A20"/>
    <w:rsid w:val="00A67796"/>
    <w:rsid w:val="00A7156E"/>
    <w:rsid w:val="00A720B5"/>
    <w:rsid w:val="00A82F7A"/>
    <w:rsid w:val="00A8399C"/>
    <w:rsid w:val="00AA0CC5"/>
    <w:rsid w:val="00AE365F"/>
    <w:rsid w:val="00B03E0C"/>
    <w:rsid w:val="00B16AFE"/>
    <w:rsid w:val="00B223BE"/>
    <w:rsid w:val="00B25529"/>
    <w:rsid w:val="00B30D35"/>
    <w:rsid w:val="00B404C4"/>
    <w:rsid w:val="00B42B96"/>
    <w:rsid w:val="00B45442"/>
    <w:rsid w:val="00B515B5"/>
    <w:rsid w:val="00B574F9"/>
    <w:rsid w:val="00B65DD5"/>
    <w:rsid w:val="00B76F1E"/>
    <w:rsid w:val="00B9761E"/>
    <w:rsid w:val="00BA341B"/>
    <w:rsid w:val="00BA4778"/>
    <w:rsid w:val="00BA555B"/>
    <w:rsid w:val="00BB2EF8"/>
    <w:rsid w:val="00BD10B6"/>
    <w:rsid w:val="00BF093D"/>
    <w:rsid w:val="00BF5123"/>
    <w:rsid w:val="00C07076"/>
    <w:rsid w:val="00C13ED6"/>
    <w:rsid w:val="00C2164F"/>
    <w:rsid w:val="00C30252"/>
    <w:rsid w:val="00C50BB0"/>
    <w:rsid w:val="00C62B39"/>
    <w:rsid w:val="00C868B8"/>
    <w:rsid w:val="00C91D88"/>
    <w:rsid w:val="00C93DF7"/>
    <w:rsid w:val="00CA1391"/>
    <w:rsid w:val="00CA7A84"/>
    <w:rsid w:val="00CB00DF"/>
    <w:rsid w:val="00CB2271"/>
    <w:rsid w:val="00CD65C9"/>
    <w:rsid w:val="00D0075D"/>
    <w:rsid w:val="00D334AC"/>
    <w:rsid w:val="00D36A88"/>
    <w:rsid w:val="00D41900"/>
    <w:rsid w:val="00D434CD"/>
    <w:rsid w:val="00D53BCF"/>
    <w:rsid w:val="00D56F4A"/>
    <w:rsid w:val="00D72C0D"/>
    <w:rsid w:val="00D73C72"/>
    <w:rsid w:val="00D9228E"/>
    <w:rsid w:val="00D95DD0"/>
    <w:rsid w:val="00E00ACB"/>
    <w:rsid w:val="00E0592B"/>
    <w:rsid w:val="00E10A2F"/>
    <w:rsid w:val="00E119BA"/>
    <w:rsid w:val="00E123A6"/>
    <w:rsid w:val="00E13653"/>
    <w:rsid w:val="00E21D54"/>
    <w:rsid w:val="00E25010"/>
    <w:rsid w:val="00E3098D"/>
    <w:rsid w:val="00E31738"/>
    <w:rsid w:val="00E319D0"/>
    <w:rsid w:val="00E33332"/>
    <w:rsid w:val="00E47C93"/>
    <w:rsid w:val="00E70C23"/>
    <w:rsid w:val="00E71D45"/>
    <w:rsid w:val="00E8096E"/>
    <w:rsid w:val="00E817BF"/>
    <w:rsid w:val="00E8568D"/>
    <w:rsid w:val="00E86786"/>
    <w:rsid w:val="00E948D0"/>
    <w:rsid w:val="00E95FB7"/>
    <w:rsid w:val="00EA4AE8"/>
    <w:rsid w:val="00EB047A"/>
    <w:rsid w:val="00EB1512"/>
    <w:rsid w:val="00EB6C86"/>
    <w:rsid w:val="00EC0D3E"/>
    <w:rsid w:val="00EC1743"/>
    <w:rsid w:val="00ED2F80"/>
    <w:rsid w:val="00ED3706"/>
    <w:rsid w:val="00ED4C27"/>
    <w:rsid w:val="00EE0A39"/>
    <w:rsid w:val="00EE28C8"/>
    <w:rsid w:val="00EE32CF"/>
    <w:rsid w:val="00F01FBB"/>
    <w:rsid w:val="00F1624E"/>
    <w:rsid w:val="00F17425"/>
    <w:rsid w:val="00F237C1"/>
    <w:rsid w:val="00F2761C"/>
    <w:rsid w:val="00F32F8A"/>
    <w:rsid w:val="00F37E98"/>
    <w:rsid w:val="00F45BE6"/>
    <w:rsid w:val="00F62F8A"/>
    <w:rsid w:val="00F70069"/>
    <w:rsid w:val="00F810AA"/>
    <w:rsid w:val="00FA341E"/>
    <w:rsid w:val="00FB15E7"/>
    <w:rsid w:val="00FB43EC"/>
    <w:rsid w:val="00FB6B40"/>
    <w:rsid w:val="00FD4E6D"/>
    <w:rsid w:val="27FF0FA7"/>
    <w:rsid w:val="3BE91008"/>
    <w:rsid w:val="5F7F47DC"/>
    <w:rsid w:val="604464FC"/>
    <w:rsid w:val="6EEAA762"/>
    <w:rsid w:val="6F8BB2B0"/>
    <w:rsid w:val="6FBC4FFC"/>
    <w:rsid w:val="FFFBE85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0" w:semiHidden="0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0" w:semiHidden="0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8"/>
    <w:semiHidden/>
    <w:unhideWhenUsed/>
    <w:qFormat/>
    <w:uiPriority w:val="99"/>
    <w:pPr>
      <w:jc w:val="left"/>
    </w:pPr>
  </w:style>
  <w:style w:type="paragraph" w:styleId="3">
    <w:name w:val="Balloon Text"/>
    <w:basedOn w:val="1"/>
    <w:link w:val="15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footnote text"/>
    <w:basedOn w:val="1"/>
    <w:link w:val="17"/>
    <w:qFormat/>
    <w:uiPriority w:val="0"/>
    <w:pPr>
      <w:snapToGrid w:val="0"/>
      <w:jc w:val="left"/>
    </w:pPr>
    <w:rPr>
      <w:rFonts w:ascii="Times New Roman" w:hAnsi="Times New Roman"/>
      <w:sz w:val="18"/>
      <w:szCs w:val="18"/>
    </w:rPr>
  </w:style>
  <w:style w:type="paragraph" w:styleId="7">
    <w:name w:val="annotation subject"/>
    <w:basedOn w:val="2"/>
    <w:next w:val="2"/>
    <w:link w:val="19"/>
    <w:semiHidden/>
    <w:unhideWhenUsed/>
    <w:qFormat/>
    <w:uiPriority w:val="99"/>
    <w:rPr>
      <w:b/>
      <w:bCs/>
    </w:rPr>
  </w:style>
  <w:style w:type="character" w:styleId="10">
    <w:name w:val="annotation reference"/>
    <w:basedOn w:val="9"/>
    <w:semiHidden/>
    <w:unhideWhenUsed/>
    <w:qFormat/>
    <w:uiPriority w:val="99"/>
    <w:rPr>
      <w:sz w:val="21"/>
      <w:szCs w:val="21"/>
    </w:rPr>
  </w:style>
  <w:style w:type="character" w:styleId="11">
    <w:name w:val="footnote reference"/>
    <w:basedOn w:val="9"/>
    <w:unhideWhenUsed/>
    <w:qFormat/>
    <w:uiPriority w:val="0"/>
    <w:rPr>
      <w:vertAlign w:val="superscript"/>
    </w:rPr>
  </w:style>
  <w:style w:type="character" w:customStyle="1" w:styleId="12">
    <w:name w:val="页眉 字符"/>
    <w:basedOn w:val="9"/>
    <w:link w:val="5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">
    <w:name w:val="页脚 字符"/>
    <w:basedOn w:val="9"/>
    <w:link w:val="4"/>
    <w:qFormat/>
    <w:uiPriority w:val="99"/>
    <w:rPr>
      <w:rFonts w:ascii="Calibri" w:hAnsi="Calibri" w:eastAsia="宋体" w:cs="Times New Roman"/>
      <w:sz w:val="18"/>
      <w:szCs w:val="18"/>
    </w:rPr>
  </w:style>
  <w:style w:type="paragraph" w:styleId="14">
    <w:name w:val="List Paragraph"/>
    <w:basedOn w:val="1"/>
    <w:link w:val="16"/>
    <w:qFormat/>
    <w:uiPriority w:val="34"/>
    <w:pPr>
      <w:ind w:firstLine="420" w:firstLineChars="200"/>
    </w:pPr>
  </w:style>
  <w:style w:type="character" w:customStyle="1" w:styleId="15">
    <w:name w:val="批注框文本 字符"/>
    <w:basedOn w:val="9"/>
    <w:link w:val="3"/>
    <w:semiHidden/>
    <w:qFormat/>
    <w:uiPriority w:val="99"/>
    <w:rPr>
      <w:rFonts w:ascii="Calibri" w:hAnsi="Calibri" w:eastAsia="宋体" w:cs="Times New Roman"/>
      <w:kern w:val="2"/>
      <w:sz w:val="18"/>
      <w:szCs w:val="18"/>
    </w:rPr>
  </w:style>
  <w:style w:type="character" w:customStyle="1" w:styleId="16">
    <w:name w:val="列出段落 字符"/>
    <w:link w:val="14"/>
    <w:qFormat/>
    <w:locked/>
    <w:uiPriority w:val="34"/>
    <w:rPr>
      <w:rFonts w:ascii="Calibri" w:hAnsi="Calibri" w:eastAsia="宋体" w:cs="Times New Roman"/>
      <w:kern w:val="2"/>
      <w:sz w:val="21"/>
      <w:szCs w:val="22"/>
    </w:rPr>
  </w:style>
  <w:style w:type="character" w:customStyle="1" w:styleId="17">
    <w:name w:val="脚注文本 字符"/>
    <w:basedOn w:val="9"/>
    <w:link w:val="6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8">
    <w:name w:val="批注文字 字符"/>
    <w:basedOn w:val="9"/>
    <w:link w:val="2"/>
    <w:semiHidden/>
    <w:qFormat/>
    <w:uiPriority w:val="99"/>
    <w:rPr>
      <w:rFonts w:ascii="Calibri" w:hAnsi="Calibri" w:eastAsia="宋体" w:cs="Times New Roman"/>
      <w:kern w:val="2"/>
      <w:sz w:val="21"/>
      <w:szCs w:val="22"/>
    </w:rPr>
  </w:style>
  <w:style w:type="character" w:customStyle="1" w:styleId="19">
    <w:name w:val="批注主题 字符"/>
    <w:basedOn w:val="18"/>
    <w:link w:val="7"/>
    <w:semiHidden/>
    <w:qFormat/>
    <w:uiPriority w:val="99"/>
    <w:rPr>
      <w:rFonts w:ascii="Calibri" w:hAnsi="Calibri" w:eastAsia="宋体" w:cs="Times New Roman"/>
      <w:b/>
      <w:bCs/>
      <w:kern w:val="2"/>
      <w:sz w:val="21"/>
      <w:szCs w:val="22"/>
    </w:rPr>
  </w:style>
  <w:style w:type="paragraph" w:customStyle="1" w:styleId="20">
    <w:name w:val="Revision"/>
    <w:hidden/>
    <w:semiHidden/>
    <w:qFormat/>
    <w:uiPriority w:val="99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KWM</Company>
  <Pages>2</Pages>
  <Words>149</Words>
  <Characters>855</Characters>
  <Lines>7</Lines>
  <Paragraphs>2</Paragraphs>
  <TotalTime>1</TotalTime>
  <ScaleCrop>false</ScaleCrop>
  <LinksUpToDate>false</LinksUpToDate>
  <CharactersWithSpaces>1002</CharactersWithSpaces>
  <Application>WPS Office_11.8.2.9695_F1E327BC-269C-435d-A152-05C5408002CA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2021-09-15T06:41:00Z</dcterms:created>
  <dc:creator>oa</dc:creator>
  <cp:lastModifiedBy>oa</cp:lastModifiedBy>
  <cp:lastPrinted>2019-12-19T03:32:00Z</cp:lastPrinted>
  <dcterms:modified xsi:type="dcterms:W3CDTF">2022-05-30T14:28:14Z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2052-11.8.2.9695</vt:lpwstr>
  </property>
</Properties>
</file>