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hint="eastAsia" w:ascii="黑体" w:hAnsi="黑体" w:eastAsia="黑体" w:cs="黑体"/>
          <w:b/>
          <w:bCs/>
          <w:sz w:val="36"/>
          <w:szCs w:val="36"/>
        </w:rPr>
      </w:pPr>
      <w:r>
        <w:rPr>
          <w:rFonts w:hint="eastAsia" w:ascii="黑体" w:hAnsi="黑体" w:eastAsia="黑体" w:cs="黑体"/>
          <w:b/>
          <w:bCs/>
          <w:sz w:val="36"/>
          <w:szCs w:val="36"/>
        </w:rPr>
        <w:t>经营者集中简易案件公示表</w:t>
      </w:r>
    </w:p>
    <w:p>
      <w:pPr>
        <w:spacing w:line="440" w:lineRule="exact"/>
        <w:ind w:firstLine="845" w:firstLineChars="302"/>
        <w:rPr>
          <w:rFonts w:ascii="Times New Roman" w:hAnsi="Times New Roman"/>
          <w:sz w:val="28"/>
          <w:szCs w:val="28"/>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before="0" w:after="0"/>
              <w:jc w:val="center"/>
              <w:rPr>
                <w:rFonts w:hint="default" w:ascii="Arial" w:hAnsi="Arial" w:cs="Arial"/>
                <w:b/>
                <w:bCs/>
                <w:kern w:val="0"/>
                <w:sz w:val="24"/>
                <w:szCs w:val="24"/>
              </w:rPr>
            </w:pPr>
            <w:r>
              <w:rPr>
                <w:rFonts w:hint="default" w:ascii="Arial" w:hAnsi="Arial" w:cs="Arial"/>
                <w:b/>
                <w:bCs/>
                <w:kern w:val="0"/>
                <w:sz w:val="24"/>
                <w:szCs w:val="24"/>
              </w:rPr>
              <w:t>案件名称</w:t>
            </w:r>
          </w:p>
        </w:tc>
        <w:tc>
          <w:tcPr>
            <w:tcW w:w="6949" w:type="dxa"/>
            <w:gridSpan w:val="2"/>
          </w:tcPr>
          <w:p>
            <w:pPr>
              <w:spacing w:before="0" w:after="0"/>
              <w:rPr>
                <w:rFonts w:hint="default" w:ascii="Arial" w:hAnsi="Arial" w:cs="Arial"/>
                <w:kern w:val="0"/>
                <w:sz w:val="24"/>
                <w:szCs w:val="24"/>
              </w:rPr>
            </w:pPr>
            <w:r>
              <w:rPr>
                <w:rFonts w:hint="default" w:ascii="Arial" w:hAnsi="Arial" w:cs="Arial"/>
                <w:kern w:val="0"/>
                <w:sz w:val="24"/>
                <w:szCs w:val="24"/>
              </w:rPr>
              <w:t>湖南南岭民用爆破器材股份有限公司收购中国葛洲坝集团易普力股份有限公司股权案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before="0" w:after="0"/>
              <w:jc w:val="center"/>
              <w:rPr>
                <w:rFonts w:hint="default" w:ascii="Arial" w:hAnsi="Arial" w:cs="Arial"/>
                <w:b/>
                <w:bCs/>
                <w:kern w:val="0"/>
                <w:sz w:val="24"/>
                <w:szCs w:val="24"/>
              </w:rPr>
            </w:pPr>
            <w:r>
              <w:rPr>
                <w:rFonts w:hint="default" w:ascii="Arial" w:hAnsi="Arial" w:cs="Arial"/>
                <w:b/>
                <w:bCs/>
                <w:kern w:val="0"/>
                <w:sz w:val="24"/>
                <w:szCs w:val="24"/>
              </w:rPr>
              <w:t>交易概况</w:t>
            </w:r>
          </w:p>
          <w:p>
            <w:pPr>
              <w:spacing w:before="0" w:after="0"/>
              <w:jc w:val="center"/>
              <w:rPr>
                <w:rFonts w:hint="default" w:ascii="Arial" w:hAnsi="Arial" w:cs="Arial"/>
                <w:b/>
                <w:bCs/>
                <w:kern w:val="0"/>
                <w:sz w:val="24"/>
                <w:szCs w:val="24"/>
              </w:rPr>
            </w:pPr>
            <w:r>
              <w:rPr>
                <w:rFonts w:hint="default" w:ascii="Arial" w:hAnsi="Arial" w:cs="Arial"/>
                <w:b/>
                <w:bCs/>
                <w:kern w:val="0"/>
                <w:sz w:val="24"/>
                <w:szCs w:val="24"/>
              </w:rPr>
              <w:t>（限200字内）</w:t>
            </w:r>
          </w:p>
        </w:tc>
        <w:tc>
          <w:tcPr>
            <w:tcW w:w="6949" w:type="dxa"/>
            <w:gridSpan w:val="2"/>
          </w:tcPr>
          <w:p>
            <w:pPr>
              <w:spacing w:before="0" w:after="0"/>
              <w:rPr>
                <w:rFonts w:hint="default" w:ascii="Arial" w:hAnsi="Arial" w:cs="Arial"/>
                <w:kern w:val="0"/>
                <w:sz w:val="24"/>
                <w:szCs w:val="24"/>
              </w:rPr>
            </w:pPr>
            <w:r>
              <w:rPr>
                <w:rFonts w:hint="default" w:ascii="Arial" w:hAnsi="Arial" w:cs="Arial"/>
                <w:kern w:val="0"/>
                <w:sz w:val="24"/>
                <w:szCs w:val="24"/>
              </w:rPr>
              <w:t>湖南南岭民用爆破器材股份有限公司（“南岭民爆”）</w:t>
            </w:r>
            <w:r>
              <w:rPr>
                <w:rFonts w:hint="default" w:ascii="Arial" w:hAnsi="Arial" w:cs="Arial"/>
                <w:kern w:val="0"/>
                <w:sz w:val="24"/>
                <w:szCs w:val="24"/>
                <w:lang w:val="en-US" w:eastAsia="zh-CN"/>
              </w:rPr>
              <w:t>与</w:t>
            </w:r>
            <w:r>
              <w:rPr>
                <w:rFonts w:hint="default" w:ascii="Arial" w:hAnsi="Arial" w:cs="Arial"/>
                <w:kern w:val="0"/>
                <w:sz w:val="24"/>
                <w:szCs w:val="24"/>
                <w:lang w:eastAsia="zh-CN"/>
              </w:rPr>
              <w:t>中国葛洲坝集团股份有限公司（“</w:t>
            </w:r>
            <w:r>
              <w:rPr>
                <w:rFonts w:hint="default" w:ascii="Arial" w:hAnsi="Arial" w:cs="Arial"/>
                <w:kern w:val="0"/>
                <w:sz w:val="24"/>
                <w:szCs w:val="24"/>
                <w:lang w:val="en-US" w:eastAsia="zh-CN"/>
              </w:rPr>
              <w:t>葛洲坝股份</w:t>
            </w:r>
            <w:r>
              <w:rPr>
                <w:rFonts w:hint="default" w:ascii="Arial" w:hAnsi="Arial" w:cs="Arial"/>
                <w:kern w:val="0"/>
                <w:sz w:val="24"/>
                <w:szCs w:val="24"/>
                <w:lang w:eastAsia="zh-CN"/>
              </w:rPr>
              <w:t>”）、攀钢集团矿业有限公司</w:t>
            </w:r>
            <w:r>
              <w:rPr>
                <w:rFonts w:hint="default" w:ascii="Arial" w:hAnsi="Arial" w:cs="Arial"/>
                <w:kern w:val="0"/>
                <w:sz w:val="24"/>
                <w:szCs w:val="24"/>
                <w:lang w:val="en-US" w:eastAsia="zh-CN"/>
              </w:rPr>
              <w:t>等公司签署协议，南岭民爆</w:t>
            </w:r>
            <w:r>
              <w:rPr>
                <w:rFonts w:hint="default" w:ascii="Arial" w:hAnsi="Arial" w:cs="Arial"/>
                <w:kern w:val="0"/>
                <w:sz w:val="24"/>
                <w:szCs w:val="24"/>
              </w:rPr>
              <w:t>拟收购中国葛洲坝集团易普力股份有限公司（</w:t>
            </w:r>
            <w:r>
              <w:rPr>
                <w:rFonts w:hint="default" w:ascii="Arial" w:hAnsi="Arial" w:cs="Arial"/>
                <w:kern w:val="0"/>
                <w:sz w:val="24"/>
                <w:szCs w:val="24"/>
                <w:lang w:eastAsia="zh-CN"/>
              </w:rPr>
              <w:t>“</w:t>
            </w:r>
            <w:r>
              <w:rPr>
                <w:rFonts w:hint="default" w:ascii="Arial" w:hAnsi="Arial" w:cs="Arial"/>
                <w:kern w:val="0"/>
                <w:sz w:val="24"/>
                <w:szCs w:val="24"/>
                <w:lang w:val="en-US" w:eastAsia="zh-CN"/>
              </w:rPr>
              <w:t>葛洲坝易普力</w:t>
            </w:r>
            <w:r>
              <w:rPr>
                <w:rFonts w:hint="default" w:ascii="Arial" w:hAnsi="Arial" w:cs="Arial"/>
                <w:kern w:val="0"/>
                <w:sz w:val="24"/>
                <w:szCs w:val="24"/>
                <w:lang w:eastAsia="zh-CN"/>
              </w:rPr>
              <w:t>”</w:t>
            </w:r>
            <w:r>
              <w:rPr>
                <w:rFonts w:hint="default" w:ascii="Arial" w:hAnsi="Arial" w:cs="Arial"/>
                <w:kern w:val="0"/>
                <w:sz w:val="24"/>
                <w:szCs w:val="24"/>
                <w:lang w:val="en-US" w:eastAsia="zh-CN"/>
              </w:rPr>
              <w:t>或</w:t>
            </w:r>
            <w:r>
              <w:rPr>
                <w:rFonts w:hint="default" w:ascii="Arial" w:hAnsi="Arial" w:cs="Arial"/>
                <w:kern w:val="0"/>
                <w:sz w:val="24"/>
                <w:szCs w:val="24"/>
              </w:rPr>
              <w:t>“目标公司”）100%的股权</w:t>
            </w:r>
            <w:r>
              <w:rPr>
                <w:rFonts w:hint="default" w:ascii="Arial" w:hAnsi="Arial" w:cs="Arial"/>
                <w:kern w:val="0"/>
                <w:sz w:val="24"/>
                <w:szCs w:val="24"/>
                <w:lang w:eastAsia="zh-CN"/>
              </w:rPr>
              <w:t>。</w:t>
            </w:r>
            <w:r>
              <w:rPr>
                <w:rFonts w:hint="default" w:ascii="Arial" w:hAnsi="Arial" w:cs="Arial"/>
                <w:kern w:val="0"/>
                <w:sz w:val="24"/>
                <w:szCs w:val="24"/>
                <w:lang w:val="en-US" w:eastAsia="zh-CN"/>
              </w:rPr>
              <w:t>目标公司主要从事</w:t>
            </w:r>
            <w:r>
              <w:rPr>
                <w:rFonts w:hint="eastAsia" w:ascii="Arial" w:hAnsi="Arial" w:cs="Arial"/>
                <w:kern w:val="0"/>
                <w:sz w:val="24"/>
                <w:szCs w:val="24"/>
                <w:lang w:val="en-US" w:eastAsia="zh-CN"/>
              </w:rPr>
              <w:t>民用爆破</w:t>
            </w:r>
            <w:r>
              <w:rPr>
                <w:rFonts w:hint="default" w:ascii="Arial" w:hAnsi="Arial" w:cs="Arial"/>
                <w:kern w:val="0"/>
                <w:sz w:val="24"/>
                <w:szCs w:val="24"/>
                <w:lang w:val="en-US" w:eastAsia="zh-CN"/>
              </w:rPr>
              <w:t>器材的研发、生产、销售、运输及爆破工程服务。交易前，葛洲坝股份持有目标公司68.36%的股份，</w:t>
            </w:r>
            <w:r>
              <w:rPr>
                <w:rFonts w:hint="default" w:ascii="Arial" w:hAnsi="Arial" w:cs="Arial"/>
                <w:kern w:val="0"/>
                <w:sz w:val="24"/>
                <w:szCs w:val="24"/>
              </w:rPr>
              <w:t>单独控制目标公司。交易后，南岭民爆单独控制目标公司。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trPr>
        <w:tc>
          <w:tcPr>
            <w:tcW w:w="1809" w:type="dxa"/>
            <w:vMerge w:val="restart"/>
            <w:shd w:val="clear" w:color="auto" w:fill="D9D9D9"/>
            <w:vAlign w:val="center"/>
          </w:tcPr>
          <w:p>
            <w:pPr>
              <w:spacing w:before="0" w:after="0"/>
              <w:jc w:val="center"/>
              <w:rPr>
                <w:rFonts w:hint="default" w:ascii="Arial" w:hAnsi="Arial" w:cs="Arial"/>
                <w:b/>
                <w:bCs/>
                <w:kern w:val="0"/>
                <w:sz w:val="24"/>
                <w:szCs w:val="24"/>
              </w:rPr>
            </w:pPr>
            <w:r>
              <w:rPr>
                <w:rFonts w:hint="default" w:ascii="Arial" w:hAnsi="Arial" w:cs="Arial"/>
                <w:b/>
                <w:bCs/>
                <w:kern w:val="0"/>
                <w:sz w:val="24"/>
                <w:szCs w:val="24"/>
              </w:rPr>
              <w:t>参与集中的</w:t>
            </w:r>
          </w:p>
          <w:p>
            <w:pPr>
              <w:spacing w:before="0" w:after="0"/>
              <w:jc w:val="center"/>
              <w:rPr>
                <w:rFonts w:hint="default" w:ascii="Arial" w:hAnsi="Arial" w:cs="Arial"/>
                <w:b/>
                <w:bCs/>
                <w:kern w:val="0"/>
                <w:sz w:val="24"/>
                <w:szCs w:val="24"/>
              </w:rPr>
            </w:pPr>
            <w:r>
              <w:rPr>
                <w:rFonts w:hint="default" w:ascii="Arial" w:hAnsi="Arial" w:cs="Arial"/>
                <w:b/>
                <w:bCs/>
                <w:kern w:val="0"/>
                <w:sz w:val="24"/>
                <w:szCs w:val="24"/>
              </w:rPr>
              <w:t>经营者简介</w:t>
            </w:r>
          </w:p>
        </w:tc>
        <w:tc>
          <w:tcPr>
            <w:tcW w:w="1796" w:type="dxa"/>
          </w:tcPr>
          <w:p>
            <w:pPr>
              <w:spacing w:before="0" w:after="0"/>
              <w:rPr>
                <w:rFonts w:hint="default" w:ascii="Arial" w:hAnsi="Arial" w:cs="Arial"/>
                <w:kern w:val="0"/>
                <w:sz w:val="24"/>
                <w:szCs w:val="24"/>
              </w:rPr>
            </w:pPr>
            <w:r>
              <w:rPr>
                <w:rFonts w:hint="default" w:ascii="Arial" w:hAnsi="Arial" w:cs="Arial"/>
                <w:kern w:val="0"/>
                <w:sz w:val="24"/>
                <w:szCs w:val="24"/>
              </w:rPr>
              <w:t>1、南岭民爆</w:t>
            </w:r>
          </w:p>
        </w:tc>
        <w:tc>
          <w:tcPr>
            <w:tcW w:w="5153" w:type="dxa"/>
          </w:tcPr>
          <w:p>
            <w:pPr>
              <w:spacing w:before="0" w:after="0"/>
              <w:rPr>
                <w:rFonts w:hint="default" w:ascii="Arial" w:hAnsi="Arial" w:cs="Arial"/>
                <w:sz w:val="24"/>
                <w:szCs w:val="24"/>
              </w:rPr>
            </w:pPr>
            <w:r>
              <w:rPr>
                <w:rFonts w:hint="default" w:ascii="Arial" w:hAnsi="Arial" w:cs="Arial"/>
                <w:kern w:val="0"/>
                <w:sz w:val="24"/>
                <w:szCs w:val="24"/>
              </w:rPr>
              <w:t>南岭民爆</w:t>
            </w:r>
            <w:r>
              <w:rPr>
                <w:rFonts w:hint="default" w:ascii="Arial" w:hAnsi="Arial" w:cs="Arial"/>
                <w:kern w:val="0"/>
                <w:sz w:val="24"/>
                <w:szCs w:val="24"/>
                <w:lang w:val="en-US" w:eastAsia="zh-CN"/>
              </w:rPr>
              <w:t>于2001年8月10日成立于中国湖南省，为深圳交易所上市公司，主要业务为</w:t>
            </w:r>
            <w:r>
              <w:rPr>
                <w:rFonts w:hint="default" w:ascii="Arial" w:hAnsi="Arial" w:cs="Arial"/>
                <w:sz w:val="24"/>
                <w:szCs w:val="24"/>
              </w:rPr>
              <w:t>民用爆破器材研发、生产、销售、运输及爆破</w:t>
            </w:r>
            <w:r>
              <w:rPr>
                <w:rFonts w:hint="default" w:ascii="Arial" w:hAnsi="Arial" w:cs="Arial"/>
                <w:sz w:val="24"/>
                <w:szCs w:val="24"/>
                <w:lang w:val="en-US" w:eastAsia="zh-CN"/>
              </w:rPr>
              <w:t>工程</w:t>
            </w:r>
            <w:r>
              <w:rPr>
                <w:rFonts w:hint="default" w:ascii="Arial" w:hAnsi="Arial" w:cs="Arial"/>
                <w:sz w:val="24"/>
                <w:szCs w:val="24"/>
              </w:rPr>
              <w:t>服务。</w:t>
            </w:r>
          </w:p>
          <w:p>
            <w:pPr>
              <w:spacing w:before="0" w:after="0"/>
              <w:rPr>
                <w:rFonts w:hint="default" w:ascii="Arial" w:hAnsi="Arial" w:eastAsia="宋体" w:cs="Arial"/>
                <w:sz w:val="24"/>
                <w:szCs w:val="24"/>
                <w:lang w:val="en-US" w:eastAsia="zh-CN"/>
              </w:rPr>
            </w:pPr>
            <w:r>
              <w:rPr>
                <w:rFonts w:hint="default" w:ascii="Arial" w:hAnsi="Arial" w:cs="Arial"/>
                <w:sz w:val="24"/>
                <w:szCs w:val="24"/>
                <w:lang w:val="en-US" w:eastAsia="zh-CN"/>
              </w:rPr>
              <w:t>南岭民爆最终控制人为湖南湘科控股集团有限公司，主要业务为企业自有资产的管理、军工产品、军民两用新技术、新材料、新能源的开发。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before="0" w:after="0"/>
              <w:jc w:val="center"/>
              <w:rPr>
                <w:rFonts w:hint="default" w:ascii="Arial" w:hAnsi="Arial" w:cs="Arial"/>
                <w:b/>
                <w:bCs/>
                <w:kern w:val="0"/>
                <w:sz w:val="24"/>
                <w:szCs w:val="24"/>
              </w:rPr>
            </w:pPr>
          </w:p>
        </w:tc>
        <w:tc>
          <w:tcPr>
            <w:tcW w:w="1796" w:type="dxa"/>
          </w:tcPr>
          <w:p>
            <w:pPr>
              <w:spacing w:before="0" w:after="0"/>
              <w:rPr>
                <w:rFonts w:hint="default" w:ascii="Arial" w:hAnsi="Arial" w:cs="Arial"/>
                <w:kern w:val="0"/>
                <w:sz w:val="24"/>
                <w:szCs w:val="24"/>
              </w:rPr>
            </w:pPr>
            <w:r>
              <w:rPr>
                <w:rFonts w:hint="default" w:ascii="Arial" w:hAnsi="Arial" w:cs="Arial"/>
                <w:kern w:val="0"/>
                <w:sz w:val="24"/>
                <w:szCs w:val="24"/>
              </w:rPr>
              <w:t>2、葛洲坝易普力</w:t>
            </w:r>
          </w:p>
        </w:tc>
        <w:tc>
          <w:tcPr>
            <w:tcW w:w="5153" w:type="dxa"/>
          </w:tcPr>
          <w:p>
            <w:pPr>
              <w:spacing w:before="0" w:after="0"/>
              <w:rPr>
                <w:rFonts w:hint="default" w:ascii="Arial" w:hAnsi="Arial" w:cs="Arial"/>
                <w:sz w:val="24"/>
                <w:szCs w:val="24"/>
              </w:rPr>
            </w:pPr>
            <w:r>
              <w:rPr>
                <w:rFonts w:hint="default" w:ascii="Arial" w:hAnsi="Arial" w:cs="Arial"/>
                <w:sz w:val="24"/>
                <w:szCs w:val="24"/>
              </w:rPr>
              <w:t>葛洲坝易普力</w:t>
            </w:r>
            <w:r>
              <w:rPr>
                <w:rFonts w:hint="default" w:ascii="Arial" w:hAnsi="Arial" w:cs="Arial"/>
                <w:sz w:val="24"/>
                <w:szCs w:val="24"/>
                <w:lang w:val="en-US" w:eastAsia="zh-CN"/>
              </w:rPr>
              <w:t>于1998年3月18日成立于中国湖北省，主要业务为</w:t>
            </w:r>
            <w:r>
              <w:rPr>
                <w:rFonts w:hint="default" w:ascii="Arial" w:hAnsi="Arial" w:cs="Arial"/>
                <w:sz w:val="24"/>
                <w:szCs w:val="24"/>
              </w:rPr>
              <w:t>民用爆破器材及装备的研发、生产、销售、运输及爆破</w:t>
            </w:r>
            <w:r>
              <w:rPr>
                <w:rFonts w:hint="default" w:ascii="Arial" w:hAnsi="Arial" w:cs="Arial"/>
                <w:sz w:val="24"/>
                <w:szCs w:val="24"/>
                <w:lang w:val="en-US" w:eastAsia="zh-CN"/>
              </w:rPr>
              <w:t>工程</w:t>
            </w:r>
            <w:r>
              <w:rPr>
                <w:rFonts w:hint="default" w:ascii="Arial" w:hAnsi="Arial" w:cs="Arial"/>
                <w:sz w:val="24"/>
                <w:szCs w:val="24"/>
              </w:rPr>
              <w:t>服务。</w:t>
            </w:r>
          </w:p>
          <w:p>
            <w:pPr>
              <w:spacing w:before="0" w:after="0"/>
              <w:rPr>
                <w:rFonts w:hint="default" w:ascii="Arial" w:hAnsi="Arial" w:eastAsia="宋体" w:cs="Arial"/>
                <w:sz w:val="24"/>
                <w:szCs w:val="24"/>
                <w:lang w:val="en-US" w:eastAsia="zh-CN"/>
              </w:rPr>
            </w:pPr>
            <w:r>
              <w:rPr>
                <w:rFonts w:hint="default" w:ascii="Arial" w:hAnsi="Arial" w:cs="Arial"/>
                <w:sz w:val="24"/>
                <w:szCs w:val="24"/>
                <w:lang w:val="en-US" w:eastAsia="zh-CN"/>
              </w:rPr>
              <w:t>葛洲坝易普力最终控制人为中国能源建设集团有限公司，主要业务为能源电力、水利水务、铁路公路、港口航道、市政工程、城市轨道、生态环保和房屋建筑。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before="0" w:after="0"/>
              <w:jc w:val="center"/>
              <w:rPr>
                <w:rFonts w:hint="default" w:ascii="Arial" w:hAnsi="Arial" w:cs="Arial"/>
                <w:b/>
                <w:bCs/>
                <w:kern w:val="0"/>
                <w:sz w:val="24"/>
                <w:szCs w:val="24"/>
              </w:rPr>
            </w:pPr>
            <w:r>
              <w:rPr>
                <w:rFonts w:hint="default" w:ascii="Arial" w:hAnsi="Arial" w:cs="Arial"/>
                <w:b/>
                <w:bCs/>
                <w:kern w:val="0"/>
                <w:sz w:val="24"/>
                <w:szCs w:val="24"/>
              </w:rPr>
              <w:t>简易案件理由（可以单选，也可以多选）</w:t>
            </w:r>
          </w:p>
        </w:tc>
        <w:tc>
          <w:tcPr>
            <w:tcW w:w="6949" w:type="dxa"/>
            <w:gridSpan w:val="2"/>
          </w:tcPr>
          <w:p>
            <w:pPr>
              <w:spacing w:before="0" w:after="0"/>
              <w:rPr>
                <w:rFonts w:hint="default" w:ascii="Arial" w:hAnsi="Arial" w:cs="Arial"/>
                <w:kern w:val="0"/>
                <w:sz w:val="24"/>
                <w:szCs w:val="24"/>
              </w:rPr>
            </w:pPr>
            <w:r>
              <w:rPr>
                <w:rFonts w:hint="default" w:ascii="Arial" w:hAnsi="Arial" w:cs="Arial"/>
                <w:kern w:val="0"/>
                <w:sz w:val="24"/>
                <w:szCs w:val="24"/>
              </w:rPr>
              <w:sym w:font="Wingdings 2" w:char="0052"/>
            </w:r>
            <w:r>
              <w:rPr>
                <w:rFonts w:hint="default" w:ascii="Arial" w:hAnsi="Arial" w:cs="Arial"/>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before="0" w:after="0"/>
              <w:jc w:val="center"/>
              <w:rPr>
                <w:rFonts w:hint="default" w:ascii="Arial" w:hAnsi="Arial" w:cs="Arial"/>
                <w:b/>
                <w:bCs/>
                <w:kern w:val="0"/>
                <w:sz w:val="24"/>
                <w:szCs w:val="24"/>
              </w:rPr>
            </w:pPr>
          </w:p>
        </w:tc>
        <w:tc>
          <w:tcPr>
            <w:tcW w:w="6949" w:type="dxa"/>
            <w:gridSpan w:val="2"/>
          </w:tcPr>
          <w:p>
            <w:pPr>
              <w:spacing w:before="0" w:after="0"/>
              <w:rPr>
                <w:rFonts w:hint="default" w:ascii="Arial" w:hAnsi="Arial" w:cs="Arial"/>
                <w:kern w:val="0"/>
                <w:sz w:val="24"/>
                <w:szCs w:val="24"/>
              </w:rPr>
            </w:pPr>
            <w:r>
              <w:rPr>
                <w:rFonts w:hint="default" w:ascii="Arial" w:hAnsi="Arial" w:cs="Arial"/>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before="0" w:after="0"/>
              <w:jc w:val="center"/>
              <w:rPr>
                <w:rFonts w:hint="default" w:ascii="Arial" w:hAnsi="Arial" w:cs="Arial"/>
                <w:b/>
                <w:bCs/>
                <w:kern w:val="0"/>
                <w:sz w:val="24"/>
                <w:szCs w:val="24"/>
              </w:rPr>
            </w:pPr>
          </w:p>
        </w:tc>
        <w:tc>
          <w:tcPr>
            <w:tcW w:w="6949" w:type="dxa"/>
            <w:gridSpan w:val="2"/>
          </w:tcPr>
          <w:p>
            <w:pPr>
              <w:spacing w:before="0" w:after="0"/>
              <w:rPr>
                <w:rFonts w:hint="default" w:ascii="Arial" w:hAnsi="Arial" w:cs="Arial"/>
                <w:kern w:val="0"/>
                <w:sz w:val="24"/>
                <w:szCs w:val="24"/>
              </w:rPr>
            </w:pPr>
            <w:r>
              <w:rPr>
                <w:rFonts w:hint="default" w:ascii="Arial" w:hAnsi="Arial" w:cs="Arial"/>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before="0" w:after="0"/>
              <w:jc w:val="center"/>
              <w:rPr>
                <w:rFonts w:hint="default" w:ascii="Arial" w:hAnsi="Arial" w:cs="Arial"/>
                <w:b/>
                <w:bCs/>
                <w:kern w:val="0"/>
                <w:sz w:val="24"/>
                <w:szCs w:val="24"/>
              </w:rPr>
            </w:pPr>
          </w:p>
        </w:tc>
        <w:tc>
          <w:tcPr>
            <w:tcW w:w="6949" w:type="dxa"/>
            <w:gridSpan w:val="2"/>
          </w:tcPr>
          <w:p>
            <w:pPr>
              <w:spacing w:before="0" w:after="0"/>
              <w:rPr>
                <w:rFonts w:hint="default" w:ascii="Arial" w:hAnsi="Arial" w:cs="Arial"/>
                <w:kern w:val="0"/>
                <w:sz w:val="24"/>
                <w:szCs w:val="24"/>
              </w:rPr>
            </w:pPr>
            <w:r>
              <w:rPr>
                <w:rFonts w:hint="default" w:ascii="Arial" w:hAnsi="Arial" w:cs="Arial"/>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before="0" w:after="0"/>
              <w:jc w:val="center"/>
              <w:rPr>
                <w:rFonts w:hint="default" w:ascii="Arial" w:hAnsi="Arial" w:cs="Arial"/>
                <w:b/>
                <w:bCs/>
                <w:kern w:val="0"/>
                <w:sz w:val="24"/>
                <w:szCs w:val="24"/>
              </w:rPr>
            </w:pPr>
          </w:p>
        </w:tc>
        <w:tc>
          <w:tcPr>
            <w:tcW w:w="6949" w:type="dxa"/>
            <w:gridSpan w:val="2"/>
          </w:tcPr>
          <w:p>
            <w:pPr>
              <w:spacing w:before="0" w:after="0"/>
              <w:rPr>
                <w:rFonts w:hint="default" w:ascii="Arial" w:hAnsi="Arial" w:cs="Arial"/>
                <w:kern w:val="0"/>
                <w:sz w:val="24"/>
                <w:szCs w:val="24"/>
              </w:rPr>
            </w:pPr>
            <w:r>
              <w:rPr>
                <w:rFonts w:hint="default" w:ascii="Arial" w:hAnsi="Arial" w:cs="Arial"/>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before="0" w:after="0"/>
              <w:jc w:val="center"/>
              <w:rPr>
                <w:rFonts w:hint="default" w:ascii="Arial" w:hAnsi="Arial" w:cs="Arial"/>
                <w:b/>
                <w:bCs/>
                <w:kern w:val="0"/>
                <w:sz w:val="24"/>
                <w:szCs w:val="24"/>
              </w:rPr>
            </w:pPr>
          </w:p>
        </w:tc>
        <w:tc>
          <w:tcPr>
            <w:tcW w:w="6949" w:type="dxa"/>
            <w:gridSpan w:val="2"/>
          </w:tcPr>
          <w:p>
            <w:pPr>
              <w:spacing w:before="0" w:after="0"/>
              <w:rPr>
                <w:rFonts w:hint="default" w:ascii="Arial" w:hAnsi="Arial" w:cs="Arial"/>
                <w:kern w:val="0"/>
                <w:sz w:val="24"/>
                <w:szCs w:val="24"/>
              </w:rPr>
            </w:pPr>
            <w:r>
              <w:rPr>
                <w:rFonts w:hint="default" w:ascii="Arial" w:hAnsi="Arial" w:cs="Arial"/>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before="0" w:after="0"/>
              <w:jc w:val="center"/>
              <w:rPr>
                <w:rFonts w:hint="default" w:ascii="Arial" w:hAnsi="Arial" w:cs="Arial"/>
                <w:b/>
                <w:bCs/>
                <w:kern w:val="0"/>
                <w:sz w:val="24"/>
                <w:szCs w:val="24"/>
              </w:rPr>
            </w:pPr>
            <w:r>
              <w:rPr>
                <w:rFonts w:hint="default" w:ascii="Arial" w:hAnsi="Arial" w:cs="Arial"/>
                <w:b/>
                <w:bCs/>
                <w:kern w:val="0"/>
                <w:sz w:val="24"/>
                <w:szCs w:val="24"/>
              </w:rPr>
              <w:t>备注</w:t>
            </w:r>
          </w:p>
        </w:tc>
        <w:tc>
          <w:tcPr>
            <w:tcW w:w="6949" w:type="dxa"/>
            <w:gridSpan w:val="2"/>
          </w:tcPr>
          <w:p>
            <w:pPr>
              <w:pStyle w:val="16"/>
              <w:numPr>
                <w:ilvl w:val="0"/>
                <w:numId w:val="0"/>
              </w:numPr>
              <w:spacing w:before="0" w:after="0"/>
              <w:rPr>
                <w:rFonts w:hint="default" w:ascii="Arial" w:hAnsi="Arial" w:cs="Arial"/>
                <w:kern w:val="0"/>
                <w:sz w:val="24"/>
                <w:szCs w:val="24"/>
              </w:rPr>
            </w:pPr>
            <w:r>
              <w:rPr>
                <w:rFonts w:hint="default" w:ascii="Arial" w:hAnsi="Arial" w:cs="Arial"/>
                <w:b/>
                <w:bCs/>
                <w:kern w:val="0"/>
                <w:sz w:val="24"/>
                <w:szCs w:val="24"/>
                <w:lang w:val="en-US" w:eastAsia="zh-CN"/>
              </w:rPr>
              <w:t>横向重叠：</w:t>
            </w:r>
          </w:p>
          <w:p>
            <w:pPr>
              <w:pStyle w:val="16"/>
              <w:numPr>
                <w:ilvl w:val="0"/>
                <w:numId w:val="0"/>
              </w:numPr>
              <w:spacing w:before="0" w:after="0"/>
              <w:rPr>
                <w:rFonts w:hint="default" w:ascii="Arial" w:hAnsi="Arial" w:cs="Arial"/>
                <w:kern w:val="0"/>
                <w:sz w:val="24"/>
                <w:szCs w:val="24"/>
                <w:u w:val="none"/>
              </w:rPr>
            </w:pPr>
            <w:r>
              <w:rPr>
                <w:rFonts w:hint="default" w:ascii="Arial" w:hAnsi="Arial" w:cs="Arial"/>
                <w:sz w:val="24"/>
                <w:szCs w:val="24"/>
                <w:u w:val="none"/>
                <w:lang w:val="en-US" w:eastAsia="zh-CN"/>
              </w:rPr>
              <w:t>2021年</w:t>
            </w:r>
            <w:r>
              <w:rPr>
                <w:rFonts w:hint="default" w:ascii="Arial" w:hAnsi="Arial" w:cs="Arial"/>
                <w:sz w:val="24"/>
                <w:szCs w:val="24"/>
                <w:u w:val="none"/>
              </w:rPr>
              <w:t>中国境内民用爆炸物品市场</w:t>
            </w:r>
          </w:p>
          <w:p>
            <w:pPr>
              <w:pStyle w:val="16"/>
              <w:numPr>
                <w:ilvl w:val="-1"/>
                <w:numId w:val="0"/>
              </w:numPr>
              <w:spacing w:before="0" w:after="0"/>
              <w:ind w:left="0" w:firstLine="0" w:firstLineChars="0"/>
              <w:jc w:val="both"/>
              <w:rPr>
                <w:rFonts w:hint="default" w:ascii="Arial" w:hAnsi="Arial" w:eastAsia="宋体" w:cs="Arial"/>
                <w:lang w:eastAsia="zh-CN"/>
              </w:rPr>
            </w:pPr>
            <w:r>
              <w:rPr>
                <w:rFonts w:hint="default" w:ascii="Arial" w:hAnsi="Arial" w:cs="Arial"/>
              </w:rPr>
              <w:t>南岭民爆：0-5%</w:t>
            </w:r>
            <w:r>
              <w:rPr>
                <w:rFonts w:hint="default" w:ascii="Arial" w:hAnsi="Arial" w:cs="Arial"/>
                <w:lang w:eastAsia="zh-CN"/>
              </w:rPr>
              <w:t>，</w:t>
            </w:r>
            <w:r>
              <w:rPr>
                <w:rFonts w:hint="default" w:ascii="Arial" w:hAnsi="Arial" w:cs="Arial"/>
              </w:rPr>
              <w:t>葛洲坝易普力：0-5%</w:t>
            </w:r>
            <w:r>
              <w:rPr>
                <w:rFonts w:hint="default" w:ascii="Arial" w:hAnsi="Arial" w:cs="Arial"/>
                <w:lang w:eastAsia="zh-CN"/>
              </w:rPr>
              <w:t>，</w:t>
            </w:r>
            <w:r>
              <w:rPr>
                <w:rFonts w:hint="default" w:ascii="Arial" w:hAnsi="Arial" w:cs="Arial"/>
                <w:lang w:val="en-US" w:eastAsia="zh-CN"/>
              </w:rPr>
              <w:t>各方</w:t>
            </w:r>
            <w:r>
              <w:rPr>
                <w:rFonts w:hint="default" w:ascii="Arial" w:hAnsi="Arial" w:cs="Arial"/>
              </w:rPr>
              <w:t>合计：5-10%</w:t>
            </w:r>
          </w:p>
          <w:p>
            <w:pPr>
              <w:pStyle w:val="16"/>
              <w:numPr>
                <w:ilvl w:val="0"/>
                <w:numId w:val="0"/>
              </w:numPr>
              <w:spacing w:before="0" w:after="0"/>
              <w:rPr>
                <w:rFonts w:hint="default" w:ascii="Arial" w:hAnsi="Arial" w:cs="Arial"/>
                <w:kern w:val="0"/>
                <w:sz w:val="24"/>
                <w:szCs w:val="24"/>
                <w:u w:val="none"/>
              </w:rPr>
            </w:pPr>
            <w:r>
              <w:rPr>
                <w:rFonts w:hint="default" w:ascii="Arial" w:hAnsi="Arial" w:cs="Arial"/>
                <w:sz w:val="24"/>
                <w:szCs w:val="24"/>
                <w:u w:val="none"/>
                <w:lang w:val="en-US" w:eastAsia="zh-CN"/>
              </w:rPr>
              <w:t>2021年</w:t>
            </w:r>
            <w:r>
              <w:rPr>
                <w:rFonts w:hint="default" w:ascii="Arial" w:hAnsi="Arial" w:cs="Arial"/>
                <w:sz w:val="24"/>
                <w:szCs w:val="24"/>
                <w:u w:val="none"/>
              </w:rPr>
              <w:t>中国境内爆破工程服务市场</w:t>
            </w:r>
          </w:p>
          <w:p>
            <w:pPr>
              <w:pStyle w:val="16"/>
              <w:numPr>
                <w:ilvl w:val="-1"/>
                <w:numId w:val="0"/>
              </w:numPr>
              <w:spacing w:before="0" w:after="0"/>
              <w:ind w:left="0" w:firstLine="0" w:firstLineChars="0"/>
              <w:jc w:val="both"/>
              <w:rPr>
                <w:rFonts w:hint="default" w:ascii="Arial" w:hAnsi="Arial" w:cs="Arial"/>
              </w:rPr>
            </w:pPr>
            <w:r>
              <w:rPr>
                <w:rFonts w:hint="default" w:ascii="Arial" w:hAnsi="Arial" w:cs="Arial"/>
              </w:rPr>
              <w:t>南岭民爆：0-5%</w:t>
            </w:r>
            <w:r>
              <w:rPr>
                <w:rFonts w:hint="default" w:ascii="Arial" w:hAnsi="Arial" w:cs="Arial"/>
                <w:lang w:eastAsia="zh-CN"/>
              </w:rPr>
              <w:t>，</w:t>
            </w:r>
            <w:r>
              <w:rPr>
                <w:rFonts w:hint="default" w:ascii="Arial" w:hAnsi="Arial" w:cs="Arial"/>
              </w:rPr>
              <w:t>葛洲坝易普力：1</w:t>
            </w:r>
            <w:r>
              <w:rPr>
                <w:rFonts w:hint="default" w:ascii="Arial" w:hAnsi="Arial" w:cs="Arial"/>
                <w:lang w:val="en-US" w:eastAsia="zh-CN"/>
              </w:rPr>
              <w:t>0</w:t>
            </w:r>
            <w:r>
              <w:rPr>
                <w:rFonts w:hint="default" w:ascii="Arial" w:hAnsi="Arial" w:cs="Arial"/>
              </w:rPr>
              <w:t>-15%</w:t>
            </w:r>
            <w:r>
              <w:rPr>
                <w:rFonts w:hint="default" w:ascii="Arial" w:hAnsi="Arial" w:cs="Arial"/>
                <w:lang w:eastAsia="zh-CN"/>
              </w:rPr>
              <w:t>，</w:t>
            </w:r>
            <w:r>
              <w:rPr>
                <w:rFonts w:hint="default" w:ascii="Arial" w:hAnsi="Arial" w:cs="Arial"/>
                <w:lang w:val="en-US" w:eastAsia="zh-CN"/>
              </w:rPr>
              <w:t>各方</w:t>
            </w:r>
            <w:r>
              <w:rPr>
                <w:rFonts w:hint="default" w:ascii="Arial" w:hAnsi="Arial" w:cs="Arial"/>
              </w:rPr>
              <w:t>合计：10-15%</w:t>
            </w:r>
          </w:p>
        </w:tc>
      </w:tr>
    </w:tbl>
    <w:p>
      <w:pPr>
        <w:snapToGrid w:val="0"/>
        <w:spacing w:line="240" w:lineRule="exact"/>
        <w:jc w:val="left"/>
        <w:rPr>
          <w:rFonts w:ascii="Times New Roman" w:hAnsi="Times New Roman"/>
          <w:sz w:val="24"/>
          <w:szCs w:val="24"/>
        </w:rPr>
      </w:pPr>
    </w:p>
    <w:p>
      <w:pPr>
        <w:snapToGrid w:val="0"/>
        <w:spacing w:line="240" w:lineRule="exact"/>
        <w:jc w:val="left"/>
        <w:rPr>
          <w:rFonts w:ascii="Times New Roman" w:hAnsi="Times New Roma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panose1 w:val="020B0503020204020204"/>
    <w:charset w:val="86"/>
    <w:family w:val="swiss"/>
    <w:pitch w:val="default"/>
    <w:sig w:usb0="80000287" w:usb1="28CF3C52" w:usb2="00000016" w:usb3="00000000" w:csb0="0004001F" w:csb1="00000000"/>
  </w:font>
  <w:font w:name="Wingdings 2">
    <w:panose1 w:val="050201020105070707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23EAB"/>
    <w:rsid w:val="0002654C"/>
    <w:rsid w:val="00037065"/>
    <w:rsid w:val="00041633"/>
    <w:rsid w:val="00090EBE"/>
    <w:rsid w:val="000A17E4"/>
    <w:rsid w:val="000B39A2"/>
    <w:rsid w:val="000C5EEA"/>
    <w:rsid w:val="000C77EC"/>
    <w:rsid w:val="000D7EBA"/>
    <w:rsid w:val="000F4CA6"/>
    <w:rsid w:val="001164CD"/>
    <w:rsid w:val="00136766"/>
    <w:rsid w:val="00155717"/>
    <w:rsid w:val="00161A2F"/>
    <w:rsid w:val="00175D99"/>
    <w:rsid w:val="001837A3"/>
    <w:rsid w:val="001B700D"/>
    <w:rsid w:val="001D2298"/>
    <w:rsid w:val="001F0CFA"/>
    <w:rsid w:val="001F3C3A"/>
    <w:rsid w:val="00245A34"/>
    <w:rsid w:val="00263334"/>
    <w:rsid w:val="002658FE"/>
    <w:rsid w:val="00274125"/>
    <w:rsid w:val="00294A12"/>
    <w:rsid w:val="002965D2"/>
    <w:rsid w:val="002A082B"/>
    <w:rsid w:val="002A0E10"/>
    <w:rsid w:val="002A2814"/>
    <w:rsid w:val="002B1A0F"/>
    <w:rsid w:val="002B5E62"/>
    <w:rsid w:val="002E40B6"/>
    <w:rsid w:val="002E533C"/>
    <w:rsid w:val="002F0A05"/>
    <w:rsid w:val="0032041B"/>
    <w:rsid w:val="0034473D"/>
    <w:rsid w:val="0034708C"/>
    <w:rsid w:val="003526F9"/>
    <w:rsid w:val="00366876"/>
    <w:rsid w:val="0037256D"/>
    <w:rsid w:val="003B6F38"/>
    <w:rsid w:val="003C0AEB"/>
    <w:rsid w:val="003C4AC5"/>
    <w:rsid w:val="003D1888"/>
    <w:rsid w:val="003D31CC"/>
    <w:rsid w:val="003D6E18"/>
    <w:rsid w:val="003E31E4"/>
    <w:rsid w:val="00400FCA"/>
    <w:rsid w:val="00431063"/>
    <w:rsid w:val="0047096E"/>
    <w:rsid w:val="00480039"/>
    <w:rsid w:val="004839A0"/>
    <w:rsid w:val="004B7F36"/>
    <w:rsid w:val="004D04DF"/>
    <w:rsid w:val="004D0EF0"/>
    <w:rsid w:val="004D370D"/>
    <w:rsid w:val="004E2CE3"/>
    <w:rsid w:val="004F104A"/>
    <w:rsid w:val="004F7688"/>
    <w:rsid w:val="005306AA"/>
    <w:rsid w:val="0057231A"/>
    <w:rsid w:val="00596BA0"/>
    <w:rsid w:val="005C671C"/>
    <w:rsid w:val="005E48C6"/>
    <w:rsid w:val="005F69F9"/>
    <w:rsid w:val="00606C70"/>
    <w:rsid w:val="006112A0"/>
    <w:rsid w:val="00621DAC"/>
    <w:rsid w:val="00621DDE"/>
    <w:rsid w:val="00624560"/>
    <w:rsid w:val="00626274"/>
    <w:rsid w:val="006274F2"/>
    <w:rsid w:val="0064068B"/>
    <w:rsid w:val="006467D8"/>
    <w:rsid w:val="006531FE"/>
    <w:rsid w:val="0066269A"/>
    <w:rsid w:val="00685AA4"/>
    <w:rsid w:val="00693C03"/>
    <w:rsid w:val="006A3EE5"/>
    <w:rsid w:val="006A531B"/>
    <w:rsid w:val="006B6724"/>
    <w:rsid w:val="006D22A5"/>
    <w:rsid w:val="006D49CC"/>
    <w:rsid w:val="006F7693"/>
    <w:rsid w:val="00710140"/>
    <w:rsid w:val="007113CD"/>
    <w:rsid w:val="0071294A"/>
    <w:rsid w:val="00724AA6"/>
    <w:rsid w:val="007357F0"/>
    <w:rsid w:val="00743835"/>
    <w:rsid w:val="00796C47"/>
    <w:rsid w:val="007A5AB0"/>
    <w:rsid w:val="007F2275"/>
    <w:rsid w:val="0080650A"/>
    <w:rsid w:val="00825DDD"/>
    <w:rsid w:val="0083056E"/>
    <w:rsid w:val="00846F59"/>
    <w:rsid w:val="00855232"/>
    <w:rsid w:val="008846C4"/>
    <w:rsid w:val="008A7677"/>
    <w:rsid w:val="008A7ADD"/>
    <w:rsid w:val="008B6FD6"/>
    <w:rsid w:val="008D065D"/>
    <w:rsid w:val="008E0878"/>
    <w:rsid w:val="008E7F3F"/>
    <w:rsid w:val="0090777E"/>
    <w:rsid w:val="00915F0F"/>
    <w:rsid w:val="00921714"/>
    <w:rsid w:val="00923C0A"/>
    <w:rsid w:val="009268E4"/>
    <w:rsid w:val="00933B04"/>
    <w:rsid w:val="009532DF"/>
    <w:rsid w:val="00991E43"/>
    <w:rsid w:val="00994615"/>
    <w:rsid w:val="00997019"/>
    <w:rsid w:val="009A5029"/>
    <w:rsid w:val="009A5D2D"/>
    <w:rsid w:val="009D38D5"/>
    <w:rsid w:val="009D672B"/>
    <w:rsid w:val="009F0706"/>
    <w:rsid w:val="00A06AED"/>
    <w:rsid w:val="00A10DCE"/>
    <w:rsid w:val="00A2586D"/>
    <w:rsid w:val="00A45865"/>
    <w:rsid w:val="00A46D6B"/>
    <w:rsid w:val="00A53F26"/>
    <w:rsid w:val="00A6791C"/>
    <w:rsid w:val="00A70942"/>
    <w:rsid w:val="00A73746"/>
    <w:rsid w:val="00A75C34"/>
    <w:rsid w:val="00AA0CC5"/>
    <w:rsid w:val="00AA4820"/>
    <w:rsid w:val="00AA623C"/>
    <w:rsid w:val="00AC7820"/>
    <w:rsid w:val="00B03FD9"/>
    <w:rsid w:val="00B049C5"/>
    <w:rsid w:val="00B16AFE"/>
    <w:rsid w:val="00B308EC"/>
    <w:rsid w:val="00B4211D"/>
    <w:rsid w:val="00B42A0A"/>
    <w:rsid w:val="00B5260C"/>
    <w:rsid w:val="00B6393B"/>
    <w:rsid w:val="00B65DD5"/>
    <w:rsid w:val="00B804C1"/>
    <w:rsid w:val="00BD10B6"/>
    <w:rsid w:val="00BD6E36"/>
    <w:rsid w:val="00BE47F8"/>
    <w:rsid w:val="00C01EA1"/>
    <w:rsid w:val="00C048C3"/>
    <w:rsid w:val="00C066E0"/>
    <w:rsid w:val="00C07076"/>
    <w:rsid w:val="00C10B6C"/>
    <w:rsid w:val="00C151E2"/>
    <w:rsid w:val="00C153D1"/>
    <w:rsid w:val="00C23031"/>
    <w:rsid w:val="00C232E4"/>
    <w:rsid w:val="00C550BE"/>
    <w:rsid w:val="00C6418F"/>
    <w:rsid w:val="00C80BBD"/>
    <w:rsid w:val="00CA4A3B"/>
    <w:rsid w:val="00CB00DF"/>
    <w:rsid w:val="00CB06DF"/>
    <w:rsid w:val="00CB2C34"/>
    <w:rsid w:val="00CB3B4A"/>
    <w:rsid w:val="00CD141C"/>
    <w:rsid w:val="00CD289E"/>
    <w:rsid w:val="00CF470C"/>
    <w:rsid w:val="00CF7E29"/>
    <w:rsid w:val="00D109BD"/>
    <w:rsid w:val="00D245D6"/>
    <w:rsid w:val="00D323AB"/>
    <w:rsid w:val="00D33CA0"/>
    <w:rsid w:val="00D43B4C"/>
    <w:rsid w:val="00D57F6C"/>
    <w:rsid w:val="00D73C72"/>
    <w:rsid w:val="00D81E2C"/>
    <w:rsid w:val="00D94806"/>
    <w:rsid w:val="00DA173D"/>
    <w:rsid w:val="00DC6D9D"/>
    <w:rsid w:val="00DE0F4D"/>
    <w:rsid w:val="00DF2614"/>
    <w:rsid w:val="00E0592B"/>
    <w:rsid w:val="00E31738"/>
    <w:rsid w:val="00E317F6"/>
    <w:rsid w:val="00E47781"/>
    <w:rsid w:val="00E52C9D"/>
    <w:rsid w:val="00E6476D"/>
    <w:rsid w:val="00E80262"/>
    <w:rsid w:val="00E804A2"/>
    <w:rsid w:val="00E86786"/>
    <w:rsid w:val="00EA31AD"/>
    <w:rsid w:val="00EA462A"/>
    <w:rsid w:val="00EC209E"/>
    <w:rsid w:val="00EC30F1"/>
    <w:rsid w:val="00EC4AC0"/>
    <w:rsid w:val="00ED2F80"/>
    <w:rsid w:val="00EE57DC"/>
    <w:rsid w:val="00EF6DC7"/>
    <w:rsid w:val="00F1624E"/>
    <w:rsid w:val="00F26AD2"/>
    <w:rsid w:val="00F32F8A"/>
    <w:rsid w:val="00F3761C"/>
    <w:rsid w:val="00F4117D"/>
    <w:rsid w:val="00F520B0"/>
    <w:rsid w:val="00F571E8"/>
    <w:rsid w:val="00F77837"/>
    <w:rsid w:val="00F77F8A"/>
    <w:rsid w:val="00F810AA"/>
    <w:rsid w:val="00F81474"/>
    <w:rsid w:val="00F869D6"/>
    <w:rsid w:val="00FA22FC"/>
    <w:rsid w:val="00FB1A4C"/>
    <w:rsid w:val="00FB43EC"/>
    <w:rsid w:val="00FB6B40"/>
    <w:rsid w:val="00FC1796"/>
    <w:rsid w:val="00FC5A86"/>
    <w:rsid w:val="013F45B0"/>
    <w:rsid w:val="07BD0955"/>
    <w:rsid w:val="0AD630B0"/>
    <w:rsid w:val="0B1057BF"/>
    <w:rsid w:val="0B6F31C3"/>
    <w:rsid w:val="0D2460AD"/>
    <w:rsid w:val="1173005D"/>
    <w:rsid w:val="21E63F65"/>
    <w:rsid w:val="22141A8C"/>
    <w:rsid w:val="228A4C07"/>
    <w:rsid w:val="25FD37A6"/>
    <w:rsid w:val="26593DB4"/>
    <w:rsid w:val="270A4BFB"/>
    <w:rsid w:val="29780968"/>
    <w:rsid w:val="29E065DA"/>
    <w:rsid w:val="2ACB41DB"/>
    <w:rsid w:val="2CCF772E"/>
    <w:rsid w:val="2D603BFB"/>
    <w:rsid w:val="35C36511"/>
    <w:rsid w:val="35FE39EC"/>
    <w:rsid w:val="381D5A7A"/>
    <w:rsid w:val="385E06CF"/>
    <w:rsid w:val="3A09118D"/>
    <w:rsid w:val="3BFE66BE"/>
    <w:rsid w:val="3EB228CC"/>
    <w:rsid w:val="3FFF614C"/>
    <w:rsid w:val="406D46C5"/>
    <w:rsid w:val="46544448"/>
    <w:rsid w:val="47562867"/>
    <w:rsid w:val="4C221FCD"/>
    <w:rsid w:val="530B2E9A"/>
    <w:rsid w:val="54164EAC"/>
    <w:rsid w:val="5A9607DE"/>
    <w:rsid w:val="5BB96ABA"/>
    <w:rsid w:val="5D1C514F"/>
    <w:rsid w:val="5D7E5B88"/>
    <w:rsid w:val="5DFE2687"/>
    <w:rsid w:val="5F1968A5"/>
    <w:rsid w:val="6329324E"/>
    <w:rsid w:val="63B76FCF"/>
    <w:rsid w:val="661D477A"/>
    <w:rsid w:val="669F4065"/>
    <w:rsid w:val="67F8200F"/>
    <w:rsid w:val="6A2974D3"/>
    <w:rsid w:val="6AA85690"/>
    <w:rsid w:val="6B935FD1"/>
    <w:rsid w:val="6C781BC4"/>
    <w:rsid w:val="6CAA14D5"/>
    <w:rsid w:val="6E8E42A6"/>
    <w:rsid w:val="6F6A231B"/>
    <w:rsid w:val="6FA06921"/>
    <w:rsid w:val="70361EB4"/>
    <w:rsid w:val="706D0833"/>
    <w:rsid w:val="74D517EC"/>
    <w:rsid w:val="753453AB"/>
    <w:rsid w:val="79306FBD"/>
    <w:rsid w:val="79FC7092"/>
    <w:rsid w:val="7E52656B"/>
    <w:rsid w:val="7E6741A7"/>
    <w:rsid w:val="7EC45E08"/>
    <w:rsid w:val="7FA40D93"/>
    <w:rsid w:val="7FD944F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3"/>
    <w:semiHidden/>
    <w:unhideWhenUsed/>
    <w:qFormat/>
    <w:uiPriority w:val="99"/>
    <w:rPr>
      <w:rFonts w:ascii="Microsoft YaHei UI" w:eastAsia="Microsoft YaHei UI"/>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rFonts w:ascii="Calibri" w:hAnsi="Calibri" w:eastAsia="宋体" w:cs="Times New Roman"/>
      <w:sz w:val="18"/>
      <w:szCs w:val="18"/>
    </w:rPr>
  </w:style>
  <w:style w:type="character" w:customStyle="1" w:styleId="11">
    <w:name w:val="页脚 字符"/>
    <w:basedOn w:val="8"/>
    <w:link w:val="4"/>
    <w:qFormat/>
    <w:uiPriority w:val="99"/>
    <w:rPr>
      <w:rFonts w:ascii="Calibri" w:hAnsi="Calibri" w:eastAsia="宋体" w:cs="Times New Roman"/>
      <w:sz w:val="18"/>
      <w:szCs w:val="18"/>
    </w:rPr>
  </w:style>
  <w:style w:type="paragraph" w:customStyle="1" w:styleId="12">
    <w:name w:val="Body"/>
    <w:basedOn w:val="1"/>
    <w:qFormat/>
    <w:uiPriority w:val="0"/>
    <w:pPr>
      <w:widowControl/>
      <w:spacing w:after="140" w:line="290" w:lineRule="auto"/>
    </w:pPr>
    <w:rPr>
      <w:rFonts w:ascii="Arial" w:hAnsi="Arial"/>
      <w:kern w:val="20"/>
      <w:sz w:val="20"/>
      <w:szCs w:val="24"/>
      <w:lang w:val="en-GB" w:eastAsia="en-GB"/>
    </w:rPr>
  </w:style>
  <w:style w:type="character" w:customStyle="1" w:styleId="13">
    <w:name w:val="批注框文本 字符"/>
    <w:basedOn w:val="8"/>
    <w:link w:val="3"/>
    <w:semiHidden/>
    <w:qFormat/>
    <w:uiPriority w:val="99"/>
    <w:rPr>
      <w:rFonts w:ascii="Microsoft YaHei UI" w:hAnsi="Calibri" w:eastAsia="Microsoft YaHei UI" w:cs="Times New Roman"/>
      <w:sz w:val="18"/>
      <w:szCs w:val="18"/>
    </w:rPr>
  </w:style>
  <w:style w:type="character" w:customStyle="1" w:styleId="14">
    <w:name w:val="批注文字 字符"/>
    <w:basedOn w:val="8"/>
    <w:link w:val="2"/>
    <w:semiHidden/>
    <w:qFormat/>
    <w:uiPriority w:val="99"/>
    <w:rPr>
      <w:rFonts w:ascii="Calibri" w:hAnsi="Calibri" w:eastAsia="宋体" w:cs="Times New Roman"/>
    </w:rPr>
  </w:style>
  <w:style w:type="character" w:customStyle="1" w:styleId="15">
    <w:name w:val="批注主题 字符"/>
    <w:basedOn w:val="14"/>
    <w:link w:val="6"/>
    <w:semiHidden/>
    <w:qFormat/>
    <w:uiPriority w:val="99"/>
    <w:rPr>
      <w:rFonts w:ascii="Calibri" w:hAnsi="Calibri" w:eastAsia="宋体" w:cs="Times New Roman"/>
      <w:b/>
      <w:bCs/>
    </w:rPr>
  </w:style>
  <w:style w:type="paragraph" w:styleId="16">
    <w:name w:val="List Paragraph"/>
    <w:basedOn w:val="1"/>
    <w:link w:val="17"/>
    <w:qFormat/>
    <w:uiPriority w:val="34"/>
    <w:pPr>
      <w:widowControl/>
      <w:ind w:firstLine="420" w:firstLineChars="200"/>
      <w:jc w:val="left"/>
    </w:pPr>
    <w:rPr>
      <w:rFonts w:ascii="宋体" w:hAnsi="宋体" w:cs="宋体"/>
      <w:kern w:val="0"/>
      <w:sz w:val="24"/>
      <w:szCs w:val="24"/>
    </w:rPr>
  </w:style>
  <w:style w:type="character" w:customStyle="1" w:styleId="17">
    <w:name w:val="列表段落 字符"/>
    <w:link w:val="16"/>
    <w:qFormat/>
    <w:locked/>
    <w:uiPriority w:val="34"/>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1184</Words>
  <Characters>1253</Characters>
  <Lines>8</Lines>
  <Paragraphs>2</Paragraphs>
  <TotalTime>20</TotalTime>
  <ScaleCrop>false</ScaleCrop>
  <LinksUpToDate>false</LinksUpToDate>
  <CharactersWithSpaces>1257</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2022-04-01T03:31:00Z</dcterms:created>
  <dcterms:modified xsi:type="dcterms:W3CDTF">2022-04-21T07:40:22Z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1BE7CC6A6B374FF2B542E311B4AFEBA7</vt:lpwstr>
  </property>
</Properties>
</file>