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jc w:val="center"/>
        <w:rPr>
          <w:rFonts w:ascii="Arial" w:hAnsi="Arial" w:cs="Arial"/>
          <w:sz w:val="28"/>
          <w:szCs w:val="28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Medlog SA收购地中海捷运物流（上海）有限公司股权案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Med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log SA</w:t>
            </w: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（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“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Medlog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”</w:t>
            </w: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）与青岛物联投资有限公司（“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  <w:lang w:val="en-GB"/>
              </w:rPr>
              <w:t>青岛物联</w:t>
            </w: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”）签署了交易协议。Medlog拟从青岛物流处购买青岛物联持有的地中海捷运物流（上海）有限公司（“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  <w:lang w:val="en-GB"/>
              </w:rPr>
              <w:t>地中海物流</w:t>
            </w: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”）2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0%</w:t>
            </w: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的股权。地中海物流主要从事集装箱堆场业务、合同物流服务以及货物运输代理服务。交易前，Medlog与青岛物联分别持有地中海物流50%股权，双方共同控制地中海物流。交易后，Medlog持有地中海物流70%股权，青岛物流持有地中海物流30%股权，地中海物流将由Medlog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1、</w:t>
            </w: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Me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dlog</w:t>
            </w:r>
          </w:p>
        </w:tc>
        <w:tc>
          <w:tcPr>
            <w:tcW w:w="5153" w:type="dxa"/>
            <w:vAlign w:val="center"/>
          </w:tcPr>
          <w:p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Medlog于2008年9月29日成立于瑞士，在全球范围内从事物流服务、内陆码头管理和运营、清关、公路/铁路/驳船内陆运输以及各类型的集装箱货物运输服务。</w:t>
            </w:r>
          </w:p>
          <w:p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Medlog最终控制人为地中海航运公司，主要业务为集装箱运输和辅助服务、堆场服务和邮轮服务。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2、</w:t>
            </w:r>
            <w:r>
              <w:rPr>
                <w:rFonts w:hint="eastAsia" w:ascii="Arial" w:hAnsi="Arial" w:cs="Arial"/>
                <w:sz w:val="24"/>
                <w:szCs w:val="24"/>
              </w:rPr>
              <w:t>地中海物流</w:t>
            </w:r>
          </w:p>
        </w:tc>
        <w:tc>
          <w:tcPr>
            <w:tcW w:w="5153" w:type="dxa"/>
            <w:vAlign w:val="center"/>
          </w:tcPr>
          <w:p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地中海物流于2</w:t>
            </w:r>
            <w:r>
              <w:rPr>
                <w:rFonts w:ascii="Arial" w:hAnsi="Arial" w:cs="Arial"/>
                <w:sz w:val="24"/>
                <w:szCs w:val="24"/>
              </w:rPr>
              <w:t>017</w:t>
            </w:r>
            <w:r>
              <w:rPr>
                <w:rFonts w:hint="eastAsia" w:ascii="Arial" w:hAnsi="Arial" w:cs="Arial"/>
                <w:sz w:val="24"/>
                <w:szCs w:val="24"/>
              </w:rPr>
              <w:t>年8月2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hint="eastAsia" w:ascii="Arial" w:hAnsi="Arial" w:cs="Arial"/>
                <w:sz w:val="24"/>
                <w:szCs w:val="24"/>
              </w:rPr>
              <w:t>日成立于中国上海，在全球范围内从事集装箱堆场服务、合同物流服务，以及货物运输代理服务。</w:t>
            </w:r>
          </w:p>
          <w:p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交易前，地中海物流的最终控制人为（1）Medlog，其业务见上；（2）自然人，其主营业务为货物运输代理。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FE"/>
            </w:r>
            <w:r>
              <w:rPr>
                <w:rFonts w:ascii="Arial" w:hAnsi="Arial" w:cs="Arial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FE"/>
            </w:r>
            <w:r>
              <w:rPr>
                <w:rFonts w:ascii="Arial" w:hAnsi="Arial" w:cs="Arial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sym w:font="Wingdings" w:char="00A8"/>
            </w:r>
            <w:r>
              <w:rPr>
                <w:rFonts w:ascii="Arial" w:hAnsi="Arial" w:cs="Arial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>
              <w:rPr>
                <w:rFonts w:ascii="Arial" w:hAnsi="Arial" w:cs="Arial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>
              <w:rPr>
                <w:rFonts w:ascii="Arial" w:hAnsi="Arial" w:cs="Arial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FE"/>
            </w:r>
            <w:r>
              <w:rPr>
                <w:rFonts w:ascii="Arial" w:hAnsi="Arial" w:cs="Arial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7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3"/>
              <w:adjustRightInd w:val="0"/>
              <w:snapToGrid w:val="0"/>
              <w:spacing w:after="0"/>
              <w:rPr>
                <w:rFonts w:ascii="Arial" w:hAnsi="Arial" w:cs="Arial"/>
                <w:b/>
                <w:color w:val="000000"/>
                <w:lang w:eastAsia="zh-CN"/>
              </w:rPr>
            </w:pPr>
            <w:r>
              <w:rPr>
                <w:rFonts w:ascii="Arial" w:hAnsi="Arial" w:cs="Arial"/>
                <w:b/>
                <w:color w:val="000000"/>
                <w:lang w:eastAsia="zh-CN"/>
              </w:rPr>
              <w:t>横向重叠：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03"/>
              <w:gridCol w:w="1842"/>
              <w:gridCol w:w="29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ascii="Arial" w:hAnsi="Arial" w:cs="Arial"/>
                      <w:b/>
                      <w:color w:val="000000"/>
                      <w:lang w:eastAsia="zh-CN"/>
                    </w:rPr>
                  </w:pPr>
                  <w:r>
                    <w:rPr>
                      <w:rFonts w:ascii="Arial" w:hAnsi="Arial" w:cs="Arial"/>
                    </w:rPr>
                    <w:t>相关商品市场</w:t>
                  </w:r>
                </w:p>
              </w:tc>
              <w:tc>
                <w:tcPr>
                  <w:tcW w:w="1842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ascii="Arial" w:hAnsi="Arial" w:cs="Arial"/>
                      <w:b/>
                      <w:color w:val="000000"/>
                      <w:lang w:eastAsia="zh-CN"/>
                    </w:rPr>
                  </w:pPr>
                  <w:r>
                    <w:rPr>
                      <w:rFonts w:ascii="Arial" w:hAnsi="Arial" w:cs="Arial"/>
                    </w:rPr>
                    <w:t>相关地域市场</w:t>
                  </w:r>
                </w:p>
              </w:tc>
              <w:tc>
                <w:tcPr>
                  <w:tcW w:w="2978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2021年市场份额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  <w:t>集装箱堆场服务市场</w:t>
                  </w:r>
                </w:p>
              </w:tc>
              <w:tc>
                <w:tcPr>
                  <w:tcW w:w="1842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ascii="Arial" w:hAnsi="Arial" w:cs="Arial"/>
                      <w:b/>
                      <w:color w:val="000000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上海港区域、天津港</w:t>
                  </w:r>
                </w:p>
              </w:tc>
              <w:tc>
                <w:tcPr>
                  <w:tcW w:w="2978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2021年上海港区域集装箱堆场服务市场：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M</w:t>
                  </w:r>
                  <w:r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edlog：[0-5]%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eastAsia="zh-CN"/>
                    </w:rPr>
                    <w:t>地中海物流：[0-5]%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各方合计：[0-5]%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2021年天津港集装箱堆场服务市场：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Medlog：[0-5]%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地中海物流：[0-5]%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各方合计：[</w:t>
                  </w:r>
                  <w:r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5</w:t>
                  </w: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-</w:t>
                  </w:r>
                  <w:r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10</w:t>
                  </w:r>
                  <w:r>
                    <w:rPr>
                      <w:rFonts w:hint="eastAsia" w:ascii="Arial" w:hAnsi="Arial" w:cs="Arial"/>
                      <w:bCs/>
                      <w:color w:val="000000"/>
                      <w:lang w:val="en-US" w:eastAsia="zh-CN"/>
                    </w:rPr>
                    <w:t>]%</w:t>
                  </w:r>
                </w:p>
              </w:tc>
            </w:tr>
          </w:tbl>
          <w:p>
            <w:pPr>
              <w:pStyle w:val="3"/>
              <w:adjustRightInd w:val="0"/>
              <w:snapToGrid w:val="0"/>
              <w:spacing w:after="0"/>
              <w:rPr>
                <w:rFonts w:ascii="Arial" w:hAnsi="Arial" w:cs="Arial"/>
                <w:b/>
                <w:color w:val="000000"/>
                <w:lang w:eastAsia="zh-CN"/>
              </w:rPr>
            </w:pPr>
          </w:p>
          <w:p>
            <w:pPr>
              <w:pStyle w:val="3"/>
              <w:adjustRightInd w:val="0"/>
              <w:snapToGrid w:val="0"/>
              <w:spacing w:after="0"/>
              <w:rPr>
                <w:rFonts w:ascii="Arial" w:hAnsi="Arial" w:cs="Arial"/>
                <w:b/>
                <w:color w:val="000000"/>
                <w:lang w:eastAsia="zh-CN"/>
              </w:rPr>
            </w:pPr>
            <w:r>
              <w:rPr>
                <w:rFonts w:ascii="Arial" w:hAnsi="Arial" w:cs="Arial"/>
                <w:b/>
                <w:color w:val="000000"/>
                <w:lang w:eastAsia="zh-CN"/>
              </w:rPr>
              <w:t>纵向关联：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 xml:space="preserve"> 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03"/>
              <w:gridCol w:w="1842"/>
              <w:gridCol w:w="29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</w:tcPr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842" w:type="dxa"/>
                </w:tcPr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2978" w:type="dxa"/>
                </w:tcPr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2021年市场份额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上游：集装箱堆场服务</w:t>
                  </w:r>
                </w:p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下游：国际海上货运代理服务市场</w:t>
                  </w:r>
                </w:p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</w:tc>
              <w:tc>
                <w:tcPr>
                  <w:tcW w:w="1842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上游：上海港区域、天津港、青岛港和大连港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下游：中国境内</w:t>
                  </w:r>
                </w:p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</w:tc>
              <w:tc>
                <w:tcPr>
                  <w:tcW w:w="2978" w:type="dxa"/>
                </w:tcPr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上游： 2021年上海港区域集装箱堆场服务市场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如上所述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hint="eastAsia"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2021年天津港集装箱堆场服务市场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如上所述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2021年青岛港集装箱堆场服务市场：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地中海物流：[</w:t>
                  </w:r>
                  <w:r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5-10]%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2021年大连港集装箱堆场服务市场：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地中海物流：[</w:t>
                  </w:r>
                  <w:r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]%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2021年</w:t>
                  </w: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中国境内国际</w:t>
                  </w:r>
                  <w:r>
                    <w:rPr>
                      <w:rFonts w:hint="eastAsia"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海上货运代理服务市场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hint="eastAsia" w:ascii="Arial" w:hAnsi="Arial" w:cs="Arial"/>
                      <w:bCs/>
                      <w:color w:val="000000"/>
                      <w:sz w:val="24"/>
                      <w:szCs w:val="24"/>
                    </w:rPr>
                    <w:t>地中海航运集团（通过关联方）：[</w:t>
                  </w:r>
                  <w:r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0-5]%</w:t>
                  </w: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snapToGrid w:val="0"/>
              <w:jc w:val="left"/>
              <w:rPr>
                <w:rFonts w:ascii="Arial" w:hAnsi="Arial" w:cs="Arial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</w:tr>
    </w:tbl>
    <w:p>
      <w:pPr>
        <w:spacing w:line="360" w:lineRule="auto"/>
        <w:rPr>
          <w:rFonts w:hint="eastAsia" w:ascii="Arial" w:hAnsi="Arial" w:cs="Ari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SwNDUwMrYwNbE0NTFR0lEKTi0uzszPAykwrQUA1767aCwAAAA="/>
  </w:docVars>
  <w:rsids>
    <w:rsidRoot w:val="00094095"/>
    <w:rsid w:val="0002479D"/>
    <w:rsid w:val="00035A82"/>
    <w:rsid w:val="00035AE9"/>
    <w:rsid w:val="00037530"/>
    <w:rsid w:val="00045100"/>
    <w:rsid w:val="000571FD"/>
    <w:rsid w:val="00061B91"/>
    <w:rsid w:val="000654B2"/>
    <w:rsid w:val="000703BE"/>
    <w:rsid w:val="00073949"/>
    <w:rsid w:val="00073DB7"/>
    <w:rsid w:val="0009242A"/>
    <w:rsid w:val="00093D0D"/>
    <w:rsid w:val="00094095"/>
    <w:rsid w:val="000A5481"/>
    <w:rsid w:val="000A59A8"/>
    <w:rsid w:val="000B0615"/>
    <w:rsid w:val="000D1A58"/>
    <w:rsid w:val="000D3951"/>
    <w:rsid w:val="000D6A31"/>
    <w:rsid w:val="000E149B"/>
    <w:rsid w:val="000E766D"/>
    <w:rsid w:val="00101756"/>
    <w:rsid w:val="001027E0"/>
    <w:rsid w:val="00112026"/>
    <w:rsid w:val="001205CE"/>
    <w:rsid w:val="0013310A"/>
    <w:rsid w:val="00137E6C"/>
    <w:rsid w:val="00145508"/>
    <w:rsid w:val="0015756B"/>
    <w:rsid w:val="001709DF"/>
    <w:rsid w:val="00172D8F"/>
    <w:rsid w:val="00185B95"/>
    <w:rsid w:val="001913C3"/>
    <w:rsid w:val="001944FF"/>
    <w:rsid w:val="001979D2"/>
    <w:rsid w:val="001B0B58"/>
    <w:rsid w:val="001B3283"/>
    <w:rsid w:val="001B59B4"/>
    <w:rsid w:val="001B7892"/>
    <w:rsid w:val="001B7F8E"/>
    <w:rsid w:val="001D0D17"/>
    <w:rsid w:val="001E2B01"/>
    <w:rsid w:val="001F7F49"/>
    <w:rsid w:val="00202B03"/>
    <w:rsid w:val="0020501F"/>
    <w:rsid w:val="00235846"/>
    <w:rsid w:val="00240C0B"/>
    <w:rsid w:val="002419D7"/>
    <w:rsid w:val="00245776"/>
    <w:rsid w:val="002613FF"/>
    <w:rsid w:val="00263B3C"/>
    <w:rsid w:val="00263F18"/>
    <w:rsid w:val="00266059"/>
    <w:rsid w:val="00267E31"/>
    <w:rsid w:val="0027718A"/>
    <w:rsid w:val="002805CE"/>
    <w:rsid w:val="0029751E"/>
    <w:rsid w:val="002A5EC2"/>
    <w:rsid w:val="002A79EB"/>
    <w:rsid w:val="002B7DDF"/>
    <w:rsid w:val="002D17EF"/>
    <w:rsid w:val="002D1C9A"/>
    <w:rsid w:val="002E38F0"/>
    <w:rsid w:val="002E6D78"/>
    <w:rsid w:val="002F2D60"/>
    <w:rsid w:val="002F66E5"/>
    <w:rsid w:val="00303602"/>
    <w:rsid w:val="00304062"/>
    <w:rsid w:val="0030730C"/>
    <w:rsid w:val="00307976"/>
    <w:rsid w:val="00310057"/>
    <w:rsid w:val="00317AB3"/>
    <w:rsid w:val="0033305D"/>
    <w:rsid w:val="0033704E"/>
    <w:rsid w:val="003439C2"/>
    <w:rsid w:val="00344BFC"/>
    <w:rsid w:val="00350C89"/>
    <w:rsid w:val="0035413C"/>
    <w:rsid w:val="003773CC"/>
    <w:rsid w:val="00381ACA"/>
    <w:rsid w:val="003B5C8E"/>
    <w:rsid w:val="003C43CB"/>
    <w:rsid w:val="003C7576"/>
    <w:rsid w:val="003D2A38"/>
    <w:rsid w:val="003D5C04"/>
    <w:rsid w:val="003E296B"/>
    <w:rsid w:val="003E2E2D"/>
    <w:rsid w:val="003E6A55"/>
    <w:rsid w:val="003F6897"/>
    <w:rsid w:val="00400F58"/>
    <w:rsid w:val="00430F10"/>
    <w:rsid w:val="0043241E"/>
    <w:rsid w:val="00433887"/>
    <w:rsid w:val="004446A5"/>
    <w:rsid w:val="00450830"/>
    <w:rsid w:val="00453F75"/>
    <w:rsid w:val="0045545C"/>
    <w:rsid w:val="004618C7"/>
    <w:rsid w:val="00462174"/>
    <w:rsid w:val="004646FA"/>
    <w:rsid w:val="004751AC"/>
    <w:rsid w:val="00481719"/>
    <w:rsid w:val="004911B1"/>
    <w:rsid w:val="0049421E"/>
    <w:rsid w:val="004A1773"/>
    <w:rsid w:val="004B58FC"/>
    <w:rsid w:val="004B5FBC"/>
    <w:rsid w:val="004C38CE"/>
    <w:rsid w:val="004C561B"/>
    <w:rsid w:val="004F351E"/>
    <w:rsid w:val="004F5CBC"/>
    <w:rsid w:val="005060EC"/>
    <w:rsid w:val="005146E7"/>
    <w:rsid w:val="00517A45"/>
    <w:rsid w:val="0052095E"/>
    <w:rsid w:val="00520D42"/>
    <w:rsid w:val="0052325E"/>
    <w:rsid w:val="0054341C"/>
    <w:rsid w:val="00562DCE"/>
    <w:rsid w:val="00577317"/>
    <w:rsid w:val="005809A0"/>
    <w:rsid w:val="00583615"/>
    <w:rsid w:val="005870D7"/>
    <w:rsid w:val="0059266D"/>
    <w:rsid w:val="00597123"/>
    <w:rsid w:val="005A4F39"/>
    <w:rsid w:val="005E4246"/>
    <w:rsid w:val="005E6F7A"/>
    <w:rsid w:val="005F167B"/>
    <w:rsid w:val="005F70F3"/>
    <w:rsid w:val="0060662D"/>
    <w:rsid w:val="0061158F"/>
    <w:rsid w:val="00620A01"/>
    <w:rsid w:val="006217A8"/>
    <w:rsid w:val="00622CB0"/>
    <w:rsid w:val="00623C25"/>
    <w:rsid w:val="00633B50"/>
    <w:rsid w:val="00635D67"/>
    <w:rsid w:val="0064565D"/>
    <w:rsid w:val="00647519"/>
    <w:rsid w:val="00653B35"/>
    <w:rsid w:val="00657EB9"/>
    <w:rsid w:val="00676365"/>
    <w:rsid w:val="006819A0"/>
    <w:rsid w:val="006A3C43"/>
    <w:rsid w:val="006B3F05"/>
    <w:rsid w:val="006C218A"/>
    <w:rsid w:val="006C65B4"/>
    <w:rsid w:val="006C7436"/>
    <w:rsid w:val="006D2D6A"/>
    <w:rsid w:val="006E3952"/>
    <w:rsid w:val="006F3DED"/>
    <w:rsid w:val="007068BF"/>
    <w:rsid w:val="00716A63"/>
    <w:rsid w:val="007209FC"/>
    <w:rsid w:val="007327D8"/>
    <w:rsid w:val="00750206"/>
    <w:rsid w:val="00752412"/>
    <w:rsid w:val="007533AA"/>
    <w:rsid w:val="00764258"/>
    <w:rsid w:val="0076775D"/>
    <w:rsid w:val="00767C3A"/>
    <w:rsid w:val="00783A00"/>
    <w:rsid w:val="007A38C7"/>
    <w:rsid w:val="007B3834"/>
    <w:rsid w:val="007C2B6C"/>
    <w:rsid w:val="007C5F6F"/>
    <w:rsid w:val="007D4CFF"/>
    <w:rsid w:val="007E01A6"/>
    <w:rsid w:val="00814098"/>
    <w:rsid w:val="00816C7C"/>
    <w:rsid w:val="0082167A"/>
    <w:rsid w:val="008222B5"/>
    <w:rsid w:val="00826CD0"/>
    <w:rsid w:val="00832D75"/>
    <w:rsid w:val="0084163F"/>
    <w:rsid w:val="008443BF"/>
    <w:rsid w:val="00845C14"/>
    <w:rsid w:val="00847AF2"/>
    <w:rsid w:val="0085157F"/>
    <w:rsid w:val="00851ED3"/>
    <w:rsid w:val="008571F5"/>
    <w:rsid w:val="00875914"/>
    <w:rsid w:val="00875B2A"/>
    <w:rsid w:val="0087668D"/>
    <w:rsid w:val="008874EE"/>
    <w:rsid w:val="008A1EE9"/>
    <w:rsid w:val="008A7ED4"/>
    <w:rsid w:val="008B2540"/>
    <w:rsid w:val="008B533B"/>
    <w:rsid w:val="008C5631"/>
    <w:rsid w:val="008D30FD"/>
    <w:rsid w:val="008E0777"/>
    <w:rsid w:val="008E2AB5"/>
    <w:rsid w:val="008E36B2"/>
    <w:rsid w:val="008E47E2"/>
    <w:rsid w:val="008E58AF"/>
    <w:rsid w:val="008F121B"/>
    <w:rsid w:val="008F5ADC"/>
    <w:rsid w:val="00902A89"/>
    <w:rsid w:val="00902FE0"/>
    <w:rsid w:val="00903C72"/>
    <w:rsid w:val="009053CE"/>
    <w:rsid w:val="00905BC2"/>
    <w:rsid w:val="00907D46"/>
    <w:rsid w:val="00923946"/>
    <w:rsid w:val="00926671"/>
    <w:rsid w:val="009278A0"/>
    <w:rsid w:val="009469BD"/>
    <w:rsid w:val="00947D01"/>
    <w:rsid w:val="00967230"/>
    <w:rsid w:val="0097781E"/>
    <w:rsid w:val="0099199A"/>
    <w:rsid w:val="00997B88"/>
    <w:rsid w:val="009A39BA"/>
    <w:rsid w:val="009A78D7"/>
    <w:rsid w:val="009B393F"/>
    <w:rsid w:val="009B6204"/>
    <w:rsid w:val="009D335A"/>
    <w:rsid w:val="009E115F"/>
    <w:rsid w:val="009E26FD"/>
    <w:rsid w:val="009E4C82"/>
    <w:rsid w:val="009E5FF1"/>
    <w:rsid w:val="00A04764"/>
    <w:rsid w:val="00A24CD6"/>
    <w:rsid w:val="00A26EA8"/>
    <w:rsid w:val="00A364FA"/>
    <w:rsid w:val="00A40DD4"/>
    <w:rsid w:val="00A43CE7"/>
    <w:rsid w:val="00A45793"/>
    <w:rsid w:val="00A45ACE"/>
    <w:rsid w:val="00A65E67"/>
    <w:rsid w:val="00A82097"/>
    <w:rsid w:val="00A82FD4"/>
    <w:rsid w:val="00A85100"/>
    <w:rsid w:val="00A93E85"/>
    <w:rsid w:val="00AB3A08"/>
    <w:rsid w:val="00AB4317"/>
    <w:rsid w:val="00AC03FC"/>
    <w:rsid w:val="00AC4E96"/>
    <w:rsid w:val="00AD74C6"/>
    <w:rsid w:val="00AD7C47"/>
    <w:rsid w:val="00AE009B"/>
    <w:rsid w:val="00AE290A"/>
    <w:rsid w:val="00AE5DC8"/>
    <w:rsid w:val="00AF49A1"/>
    <w:rsid w:val="00B07BB1"/>
    <w:rsid w:val="00B10430"/>
    <w:rsid w:val="00B136F7"/>
    <w:rsid w:val="00B233E2"/>
    <w:rsid w:val="00B33BA6"/>
    <w:rsid w:val="00B36F80"/>
    <w:rsid w:val="00B46F3D"/>
    <w:rsid w:val="00B70CED"/>
    <w:rsid w:val="00B71695"/>
    <w:rsid w:val="00B72224"/>
    <w:rsid w:val="00B773B7"/>
    <w:rsid w:val="00B82890"/>
    <w:rsid w:val="00B86497"/>
    <w:rsid w:val="00B91D18"/>
    <w:rsid w:val="00BA0750"/>
    <w:rsid w:val="00BA0752"/>
    <w:rsid w:val="00BA192B"/>
    <w:rsid w:val="00BA7CF3"/>
    <w:rsid w:val="00BB0BD8"/>
    <w:rsid w:val="00BB2377"/>
    <w:rsid w:val="00BB64E6"/>
    <w:rsid w:val="00BC45A0"/>
    <w:rsid w:val="00BD0100"/>
    <w:rsid w:val="00BD2CA2"/>
    <w:rsid w:val="00BE0B2A"/>
    <w:rsid w:val="00BE25B9"/>
    <w:rsid w:val="00BE6716"/>
    <w:rsid w:val="00C00C7B"/>
    <w:rsid w:val="00C16A45"/>
    <w:rsid w:val="00C220D7"/>
    <w:rsid w:val="00C3147A"/>
    <w:rsid w:val="00C326AD"/>
    <w:rsid w:val="00C440BD"/>
    <w:rsid w:val="00C605C5"/>
    <w:rsid w:val="00C6069B"/>
    <w:rsid w:val="00C618DD"/>
    <w:rsid w:val="00C63BB2"/>
    <w:rsid w:val="00C664F9"/>
    <w:rsid w:val="00C67C2F"/>
    <w:rsid w:val="00C9068E"/>
    <w:rsid w:val="00C9172A"/>
    <w:rsid w:val="00CA6E47"/>
    <w:rsid w:val="00CC4327"/>
    <w:rsid w:val="00CD6DAA"/>
    <w:rsid w:val="00CD78C9"/>
    <w:rsid w:val="00CE6852"/>
    <w:rsid w:val="00CE6DA3"/>
    <w:rsid w:val="00D0042F"/>
    <w:rsid w:val="00D05BE2"/>
    <w:rsid w:val="00D05BF9"/>
    <w:rsid w:val="00D175CB"/>
    <w:rsid w:val="00D21777"/>
    <w:rsid w:val="00D31776"/>
    <w:rsid w:val="00D80D00"/>
    <w:rsid w:val="00D853B2"/>
    <w:rsid w:val="00D96BB4"/>
    <w:rsid w:val="00D9713F"/>
    <w:rsid w:val="00DA3680"/>
    <w:rsid w:val="00DD1D11"/>
    <w:rsid w:val="00DE21FA"/>
    <w:rsid w:val="00E11400"/>
    <w:rsid w:val="00E232A8"/>
    <w:rsid w:val="00E27F37"/>
    <w:rsid w:val="00E31F39"/>
    <w:rsid w:val="00E4028C"/>
    <w:rsid w:val="00E47FAD"/>
    <w:rsid w:val="00E50802"/>
    <w:rsid w:val="00E51E5F"/>
    <w:rsid w:val="00E53E71"/>
    <w:rsid w:val="00E56B1E"/>
    <w:rsid w:val="00E5701D"/>
    <w:rsid w:val="00E62DED"/>
    <w:rsid w:val="00E637AB"/>
    <w:rsid w:val="00E657C4"/>
    <w:rsid w:val="00E74207"/>
    <w:rsid w:val="00E75B92"/>
    <w:rsid w:val="00E803C1"/>
    <w:rsid w:val="00E81511"/>
    <w:rsid w:val="00E869A8"/>
    <w:rsid w:val="00E95D57"/>
    <w:rsid w:val="00E960C4"/>
    <w:rsid w:val="00EC41A0"/>
    <w:rsid w:val="00EC6318"/>
    <w:rsid w:val="00EC67B2"/>
    <w:rsid w:val="00EC7C40"/>
    <w:rsid w:val="00ED21B1"/>
    <w:rsid w:val="00ED4680"/>
    <w:rsid w:val="00ED4E19"/>
    <w:rsid w:val="00EE6323"/>
    <w:rsid w:val="00EF3C8C"/>
    <w:rsid w:val="00F01D28"/>
    <w:rsid w:val="00F15C98"/>
    <w:rsid w:val="00F203ED"/>
    <w:rsid w:val="00F2146A"/>
    <w:rsid w:val="00F223DE"/>
    <w:rsid w:val="00F26A0F"/>
    <w:rsid w:val="00F26A5C"/>
    <w:rsid w:val="00F3003C"/>
    <w:rsid w:val="00F417D2"/>
    <w:rsid w:val="00F418EA"/>
    <w:rsid w:val="00F510E1"/>
    <w:rsid w:val="00F70CD5"/>
    <w:rsid w:val="00F73AA4"/>
    <w:rsid w:val="00F810A8"/>
    <w:rsid w:val="00F84765"/>
    <w:rsid w:val="00F848F3"/>
    <w:rsid w:val="00F84A27"/>
    <w:rsid w:val="00F85A59"/>
    <w:rsid w:val="00F86481"/>
    <w:rsid w:val="00F87C1F"/>
    <w:rsid w:val="00F96AAD"/>
    <w:rsid w:val="00F97C81"/>
    <w:rsid w:val="00FB17D3"/>
    <w:rsid w:val="00FB65C4"/>
    <w:rsid w:val="00FD391D"/>
    <w:rsid w:val="00FD3D7D"/>
    <w:rsid w:val="00FE7106"/>
    <w:rsid w:val="00FF7735"/>
    <w:rsid w:val="3FF618BF"/>
    <w:rsid w:val="4FFF37B7"/>
    <w:rsid w:val="597D0EFD"/>
    <w:rsid w:val="5BFD22E1"/>
    <w:rsid w:val="5FDFC0B2"/>
    <w:rsid w:val="773859C2"/>
    <w:rsid w:val="7B7C1C4D"/>
    <w:rsid w:val="7F3DCF7C"/>
    <w:rsid w:val="BF8C4EAB"/>
    <w:rsid w:val="BFFBFE4F"/>
    <w:rsid w:val="D797186D"/>
    <w:rsid w:val="E779BE61"/>
    <w:rsid w:val="EF77B0A8"/>
    <w:rsid w:val="EFD734BB"/>
    <w:rsid w:val="FF6C8A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21"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4">
    <w:name w:val="endnote text"/>
    <w:basedOn w:val="1"/>
    <w:link w:val="14"/>
    <w:semiHidden/>
    <w:unhideWhenUsed/>
    <w:qFormat/>
    <w:uiPriority w:val="99"/>
    <w:pPr>
      <w:snapToGrid w:val="0"/>
      <w:jc w:val="left"/>
    </w:p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尾注文本 字符"/>
    <w:basedOn w:val="11"/>
    <w:link w:val="4"/>
    <w:semiHidden/>
    <w:qFormat/>
    <w:uiPriority w:val="99"/>
  </w:style>
  <w:style w:type="character" w:customStyle="1" w:styleId="15">
    <w:name w:val="页眉 字符"/>
    <w:link w:val="7"/>
    <w:qFormat/>
    <w:uiPriority w:val="99"/>
    <w:rPr>
      <w:sz w:val="18"/>
      <w:szCs w:val="18"/>
    </w:rPr>
  </w:style>
  <w:style w:type="character" w:customStyle="1" w:styleId="16">
    <w:name w:val="页脚 字符"/>
    <w:link w:val="6"/>
    <w:qFormat/>
    <w:uiPriority w:val="99"/>
    <w:rPr>
      <w:sz w:val="18"/>
      <w:szCs w:val="18"/>
    </w:rPr>
  </w:style>
  <w:style w:type="character" w:customStyle="1" w:styleId="17">
    <w:name w:val="批注框文本 字符"/>
    <w:link w:val="5"/>
    <w:semiHidden/>
    <w:qFormat/>
    <w:uiPriority w:val="99"/>
    <w:rPr>
      <w:kern w:val="2"/>
      <w:sz w:val="18"/>
      <w:szCs w:val="18"/>
    </w:rPr>
  </w:style>
  <w:style w:type="character" w:customStyle="1" w:styleId="18">
    <w:name w:val="批注文字 字符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19">
    <w:name w:val="批注主题 字符"/>
    <w:basedOn w:val="18"/>
    <w:link w:val="8"/>
    <w:semiHidden/>
    <w:qFormat/>
    <w:uiPriority w:val="99"/>
    <w:rPr>
      <w:b/>
      <w:bCs/>
      <w:kern w:val="2"/>
      <w:sz w:val="21"/>
      <w:szCs w:val="2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正文文本 字符"/>
    <w:basedOn w:val="11"/>
    <w:link w:val="3"/>
    <w:qFormat/>
    <w:uiPriority w:val="0"/>
    <w:rPr>
      <w:rFonts w:ascii="Times New Roman" w:hAnsi="Times New Roman" w:cs="Simplified Arabic"/>
      <w:sz w:val="24"/>
      <w:szCs w:val="24"/>
      <w:lang w:val="en-GB" w:eastAsia="en-GB" w:bidi="ar-A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207</Words>
  <Characters>1184</Characters>
  <Lines>9</Lines>
  <Paragraphs>2</Paragraphs>
  <TotalTime>1</TotalTime>
  <ScaleCrop>false</ScaleCrop>
  <LinksUpToDate>false</LinksUpToDate>
  <CharactersWithSpaces>1389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2022-12-13T15:53:00Z</dcterms:created>
  <dcterms:modified xsi:type="dcterms:W3CDTF">2023-01-12T14:02:22Z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