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rPr>
          <w:rFonts w:ascii="Times New Roman" w:hAnsi="Times New Roman" w:cs="Times New Roman" w:eastAsia="仿宋_GB2312"/>
          <w:b/>
          <w:sz w:val="24"/>
          <w:szCs w:val="24"/>
        </w:rPr>
      </w:pPr>
      <w:r>
        <w:rPr>
          <w:rFonts w:ascii="Times New Roman" w:hAnsi="Times New Roman" w:cs="Times New Roman" w:eastAsia="仿宋_GB2312"/>
          <w:b/>
          <w:sz w:val="24"/>
          <w:szCs w:val="24"/>
        </w:rPr>
      </w:r>
      <w:r/>
    </w:p>
    <w:p>
      <w:pPr>
        <w:jc w:val="center"/>
        <w:spacing w:after="240" w:line="240" w:lineRule="auto"/>
        <w:rPr>
          <w:rFonts w:ascii="黑体" w:hAnsi="黑体" w:cs="黑体" w:eastAsia="黑体"/>
          <w:bCs/>
          <w:sz w:val="36"/>
          <w:szCs w:val="36"/>
          <w:lang w:val="en-GB" w:bidi="ar-AE"/>
        </w:rPr>
      </w:pPr>
      <w:r>
        <w:rPr>
          <w:rFonts w:ascii="黑体" w:hAnsi="黑体" w:cs="黑体" w:eastAsia="黑体"/>
          <w:bCs/>
          <w:sz w:val="36"/>
          <w:szCs w:val="36"/>
          <w:lang w:val="en-GB" w:bidi="ar-AE"/>
        </w:rPr>
        <w:t xml:space="preserve">经营者集中简易案件公示表</w:t>
      </w:r>
      <w:r/>
    </w:p>
    <w:tbl>
      <w:tblPr>
        <w:tblW w:w="86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701"/>
        <w:gridCol w:w="5245"/>
      </w:tblGrid>
      <w:tr>
        <w:trPr>
          <w:trHeight w:val="375"/>
        </w:trPr>
        <w:tc>
          <w:tcPr>
            <w:shd w:val="clear" w:color="auto" w:fill="d9d9d9"/>
            <w:tcW w:w="1696" w:type="dxa"/>
            <w:vAlign w:val="center"/>
            <w:textDirection w:val="lrTb"/>
            <w:noWrap w:val="false"/>
          </w:tcPr>
          <w:p>
            <w:pPr>
              <w:jc w:val="both"/>
              <w:spacing w:after="0" w:line="300" w:lineRule="auto"/>
              <w:rPr>
                <w:rFonts w:cs="Times New Roman" w:asciiTheme="minorEastAsia" w:hAnsiTheme="minorEastAsia"/>
                <w:bCs/>
                <w:sz w:val="24"/>
                <w:szCs w:val="24"/>
              </w:rPr>
            </w:pP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  <w:t xml:space="preserve">案件名称</w:t>
            </w:r>
            <w:r/>
          </w:p>
        </w:tc>
        <w:tc>
          <w:tcPr>
            <w:gridSpan w:val="2"/>
            <w:tcW w:w="6946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cs="Times New Roman" w:asciiTheme="minorEastAsia" w:hAnsiTheme="minorEastAsia"/>
                <w:bCs/>
                <w:sz w:val="24"/>
                <w:szCs w:val="24"/>
              </w:rPr>
            </w:pP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上药控股（湖南）有限公司收购湖南润吉药业有限公司股权案</w:t>
            </w:r>
            <w:r/>
          </w:p>
        </w:tc>
      </w:tr>
      <w:tr>
        <w:trPr>
          <w:trHeight w:val="1579"/>
        </w:trPr>
        <w:tc>
          <w:tcPr>
            <w:shd w:val="clear" w:color="auto" w:fill="d9d9d9"/>
            <w:tcW w:w="1696" w:type="dxa"/>
            <w:vAlign w:val="center"/>
            <w:textDirection w:val="lrTb"/>
            <w:noWrap w:val="false"/>
          </w:tcPr>
          <w:p>
            <w:pPr>
              <w:jc w:val="both"/>
              <w:spacing w:after="0" w:line="300" w:lineRule="auto"/>
              <w:rPr>
                <w:rFonts w:cs="Times New Roman" w:asciiTheme="minorEastAsia" w:hAnsiTheme="minorEastAsia"/>
                <w:bCs/>
                <w:sz w:val="24"/>
                <w:szCs w:val="24"/>
              </w:rPr>
            </w:pP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  <w:t xml:space="preserve">交易概况（限200字内）</w:t>
            </w:r>
            <w:r/>
          </w:p>
        </w:tc>
        <w:tc>
          <w:tcPr>
            <w:gridSpan w:val="2"/>
            <w:tcW w:w="6946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cs="Times New Roman" w:asciiTheme="minorEastAsia" w:hAnsiTheme="minorEastAsia"/>
                <w:bCs/>
                <w:sz w:val="24"/>
                <w:szCs w:val="24"/>
              </w:rPr>
            </w:pP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上药控股（湖南）有限公司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（</w:t>
            </w:r>
            <w:r>
              <w:rPr>
                <w:rFonts w:cs="Times New Roman" w:asciiTheme="minorEastAsia" w:hAnsiTheme="minorEastAsia" w:hint="eastAsia"/>
                <w:b/>
                <w:sz w:val="24"/>
                <w:szCs w:val="24"/>
              </w:rPr>
              <w:t xml:space="preserve">“</w:t>
            </w:r>
            <w:r>
              <w:rPr>
                <w:rFonts w:cs="Times New Roman" w:asciiTheme="minorEastAsia" w:hAnsiTheme="minorEastAsia" w:hint="eastAsia"/>
                <w:b/>
                <w:sz w:val="24"/>
                <w:szCs w:val="24"/>
              </w:rPr>
              <w:t xml:space="preserve">上药湖南</w:t>
            </w:r>
            <w:r>
              <w:rPr>
                <w:rFonts w:cs="Times New Roman" w:asciiTheme="minorEastAsia" w:hAnsiTheme="minorEastAsia" w:hint="eastAsia"/>
                <w:b/>
                <w:sz w:val="24"/>
                <w:szCs w:val="24"/>
              </w:rPr>
              <w:t xml:space="preserve">”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）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拟以现金方式收购瑞康医药集团股份有限公司持有的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湖南润吉药业有限公司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（</w:t>
            </w:r>
            <w:r>
              <w:rPr>
                <w:rFonts w:cs="Times New Roman" w:asciiTheme="minorEastAsia" w:hAnsiTheme="minorEastAsia" w:hint="eastAsia"/>
                <w:b/>
                <w:sz w:val="24"/>
                <w:szCs w:val="24"/>
              </w:rPr>
              <w:t xml:space="preserve">“</w:t>
            </w:r>
            <w:r>
              <w:rPr>
                <w:rFonts w:cs="Times New Roman" w:asciiTheme="minorEastAsia" w:hAnsiTheme="minorEastAsia" w:hint="eastAsia"/>
                <w:b/>
                <w:sz w:val="24"/>
                <w:szCs w:val="24"/>
              </w:rPr>
              <w:t xml:space="preserve">润吉药业</w:t>
            </w:r>
            <w:r>
              <w:rPr>
                <w:rFonts w:cs="Times New Roman" w:asciiTheme="minorEastAsia" w:hAnsiTheme="minorEastAsia" w:hint="eastAsia"/>
                <w:b/>
                <w:sz w:val="24"/>
                <w:szCs w:val="24"/>
              </w:rPr>
              <w:t xml:space="preserve">”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）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5</w:t>
            </w: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  <w:t xml:space="preserve">1%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股权</w:t>
            </w: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  <w:t xml:space="preserve">。</w:t>
            </w:r>
            <w:r/>
          </w:p>
          <w:p>
            <w:pPr>
              <w:spacing w:after="0"/>
              <w:rPr>
                <w:rFonts w:cs="Times New Roman" w:asciiTheme="minorEastAsia" w:hAnsiTheme="minorEastAsia"/>
                <w:bCs/>
                <w:sz w:val="24"/>
                <w:szCs w:val="24"/>
              </w:rPr>
            </w:pP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本次交易前，润吉药业由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瑞康医药集团股份有限公司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单独控制。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本</w:t>
            </w: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  <w:t xml:space="preserve">次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交易</w:t>
            </w: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  <w:t xml:space="preserve">后，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润吉药业由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上药湖南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单独控制</w:t>
            </w: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  <w:t xml:space="preserve">。</w:t>
            </w:r>
            <w:r/>
          </w:p>
        </w:tc>
      </w:tr>
      <w:tr>
        <w:trPr>
          <w:trHeight w:val="2147"/>
        </w:trPr>
        <w:tc>
          <w:tcPr>
            <w:shd w:val="clear" w:color="auto" w:fill="d9d9d9"/>
            <w:tcW w:w="1696" w:type="dxa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after="0" w:line="300" w:lineRule="auto"/>
              <w:rPr>
                <w:rFonts w:cs="Times New Roman" w:asciiTheme="minorEastAsia" w:hAnsiTheme="minorEastAsia"/>
                <w:bCs/>
                <w:sz w:val="24"/>
                <w:szCs w:val="24"/>
              </w:rPr>
            </w:pP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  <w:t xml:space="preserve">参与集中的经营者简介</w:t>
            </w:r>
            <w:r/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jc w:val="both"/>
              <w:spacing w:after="0" w:line="300" w:lineRule="auto"/>
              <w:rPr>
                <w:rFonts w:cs="Times New Roman" w:asciiTheme="minorEastAsia" w:hAnsiTheme="minorEastAsia"/>
                <w:bCs/>
                <w:sz w:val="24"/>
                <w:szCs w:val="24"/>
              </w:rPr>
            </w:pP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  <w:t xml:space="preserve">1、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上药湖南</w:t>
            </w:r>
            <w:r/>
          </w:p>
        </w:tc>
        <w:tc>
          <w:tcPr>
            <w:tcW w:w="5245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cs="Times New Roman" w:asciiTheme="minorEastAsia" w:hAnsiTheme="minorEastAsia"/>
                <w:bCs/>
                <w:sz w:val="24"/>
                <w:szCs w:val="24"/>
              </w:rPr>
            </w:pP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上药湖南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于</w:t>
            </w: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  <w:t xml:space="preserve">20</w:t>
            </w: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  <w:t xml:space="preserve">12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年</w:t>
            </w: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  <w:t xml:space="preserve">6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月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1</w:t>
            </w: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  <w:t xml:space="preserve">5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日成立于湖南省长沙市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，主要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从事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药品研发、制造、分销及零售等业务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。</w:t>
            </w:r>
            <w:r/>
          </w:p>
          <w:p>
            <w:pPr>
              <w:spacing w:after="0"/>
              <w:rPr>
                <w:rFonts w:cs="Times New Roman" w:asciiTheme="minorEastAsia" w:hAnsiTheme="minorEastAsia"/>
                <w:bCs/>
                <w:sz w:val="24"/>
                <w:szCs w:val="24"/>
              </w:rPr>
            </w:pP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上药湖南最终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控制人为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上海上实（集团）有限公司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，主要从事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实业投资，国内贸易（除专项规定），授权范围内的国有资产经营与管理。</w:t>
            </w:r>
            <w:r/>
          </w:p>
        </w:tc>
      </w:tr>
      <w:tr>
        <w:trPr>
          <w:trHeight w:val="420"/>
        </w:trPr>
        <w:tc>
          <w:tcPr>
            <w:shd w:val="clear" w:color="auto" w:fill="d9d9d9"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jc w:val="both"/>
              <w:spacing w:after="0" w:line="300" w:lineRule="auto"/>
              <w:rPr>
                <w:rFonts w:cs="Times New Roman" w:asciiTheme="minorEastAsia" w:hAnsiTheme="minorEastAsia"/>
                <w:bCs/>
                <w:sz w:val="24"/>
                <w:szCs w:val="24"/>
              </w:rPr>
            </w:pP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</w:r>
            <w:r/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jc w:val="both"/>
              <w:spacing w:after="0" w:line="300" w:lineRule="auto"/>
              <w:rPr>
                <w:rFonts w:cs="Times New Roman" w:asciiTheme="minorEastAsia" w:hAnsiTheme="minorEastAsia"/>
                <w:bCs/>
                <w:sz w:val="24"/>
                <w:szCs w:val="24"/>
              </w:rPr>
            </w:pP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  <w:t xml:space="preserve">2、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润吉药业</w:t>
            </w:r>
            <w:r/>
          </w:p>
        </w:tc>
        <w:tc>
          <w:tcPr>
            <w:tcW w:w="5245" w:type="dxa"/>
            <w:vAlign w:val="center"/>
            <w:textDirection w:val="lrTb"/>
            <w:noWrap w:val="false"/>
          </w:tcPr>
          <w:p>
            <w:pPr>
              <w:spacing w:after="0"/>
              <w:rPr>
                <w:rFonts w:cs="Times New Roman" w:asciiTheme="minorEastAsia" w:hAnsiTheme="minorEastAsia"/>
                <w:bCs/>
                <w:sz w:val="24"/>
                <w:szCs w:val="24"/>
              </w:rPr>
            </w:pP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润吉药业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于</w:t>
            </w: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  <w:t xml:space="preserve">2007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年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3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月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1</w:t>
            </w: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  <w:t xml:space="preserve">4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日成立于湖南省长沙市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，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主要从事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药品批发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业务。</w:t>
            </w:r>
            <w:r/>
          </w:p>
          <w:p>
            <w:pPr>
              <w:spacing w:after="0"/>
              <w:rPr>
                <w:rFonts w:cs="Times New Roman" w:asciiTheme="minorEastAsia" w:hAnsiTheme="minorEastAsia"/>
                <w:bCs/>
                <w:sz w:val="24"/>
                <w:szCs w:val="24"/>
              </w:rPr>
            </w:pP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润吉药业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最终控制人为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瑞康医药集团股份有限公司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，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主要</w:t>
            </w:r>
            <w:r>
              <w:rPr>
                <w:rFonts w:cs="Times New Roman" w:asciiTheme="minorEastAsia" w:hAnsiTheme="minorEastAsia" w:hint="eastAsia"/>
                <w:bCs/>
                <w:sz w:val="24"/>
                <w:szCs w:val="24"/>
              </w:rPr>
              <w:t xml:space="preserve">向全国医疗机构直销药品、医疗器械、医用耗材，同时提供医疗信息化服务、医院管理咨询服务、院内物流服务和医院后勤服务。</w:t>
            </w:r>
            <w:r/>
          </w:p>
        </w:tc>
      </w:tr>
      <w:tr>
        <w:trPr>
          <w:trHeight w:val="279"/>
        </w:trPr>
        <w:tc>
          <w:tcPr>
            <w:shd w:val="clear" w:color="auto" w:fill="d9d9d9"/>
            <w:tcW w:w="1696" w:type="dxa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after="0" w:line="300" w:lineRule="auto"/>
              <w:rPr>
                <w:rFonts w:cs="Times New Roman" w:asciiTheme="minorEastAsia" w:hAnsiTheme="minorEastAsia"/>
                <w:bCs/>
                <w:sz w:val="24"/>
                <w:szCs w:val="24"/>
              </w:rPr>
            </w:pP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  <w:t xml:space="preserve">简易案件理由（可以单选，也可以多选）</w:t>
            </w:r>
            <w:r/>
          </w:p>
        </w:tc>
        <w:tc>
          <w:tcPr>
            <w:gridSpan w:val="2"/>
            <w:tcW w:w="6946" w:type="dxa"/>
            <w:vAlign w:val="center"/>
            <w:textDirection w:val="lrTb"/>
            <w:noWrap w:val="false"/>
          </w:tcPr>
          <w:p>
            <w:pPr>
              <w:jc w:val="both"/>
              <w:spacing w:after="0" w:line="300" w:lineRule="auto"/>
              <w:rPr>
                <w:rFonts w:cs="Times New Roman" w:asciiTheme="minorEastAsia" w:hAnsiTheme="minorEastAsia"/>
                <w:bCs/>
                <w:sz w:val="24"/>
                <w:szCs w:val="24"/>
              </w:rPr>
            </w:pPr>
            <w:r>
              <w:rPr>
                <w:rFonts w:ascii="Wingdings" w:hAnsi="Wingdings" w:cs="Wingdings" w:eastAsia="Wingdings"/>
                <w:bCs/>
                <w:sz w:val="24"/>
                <w:szCs w:val="24"/>
              </w:rPr>
              <w:t xml:space="preserve">þ</w:t>
            </w: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  <w:t xml:space="preserve"> 1、在同一相关市场，所有参与集中的经营者所占市场份额之和小于15%。</w:t>
            </w:r>
            <w:r/>
          </w:p>
        </w:tc>
      </w:tr>
      <w:tr>
        <w:trPr>
          <w:trHeight w:val="330"/>
        </w:trPr>
        <w:tc>
          <w:tcPr>
            <w:shd w:val="clear" w:color="auto" w:fill="d9d9d9"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jc w:val="both"/>
              <w:spacing w:after="0" w:line="300" w:lineRule="auto"/>
              <w:rPr>
                <w:rFonts w:cs="Times New Roman" w:asciiTheme="minorEastAsia" w:hAnsiTheme="minorEastAsia"/>
                <w:bCs/>
                <w:sz w:val="24"/>
                <w:szCs w:val="24"/>
              </w:rPr>
            </w:pP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</w:r>
            <w:r/>
          </w:p>
        </w:tc>
        <w:tc>
          <w:tcPr>
            <w:gridSpan w:val="2"/>
            <w:tcW w:w="6946" w:type="dxa"/>
            <w:vAlign w:val="center"/>
            <w:textDirection w:val="lrTb"/>
            <w:noWrap w:val="false"/>
          </w:tcPr>
          <w:p>
            <w:pPr>
              <w:jc w:val="both"/>
              <w:spacing w:after="0" w:line="300" w:lineRule="auto"/>
              <w:rPr>
                <w:rFonts w:cs="Times New Roman" w:asciiTheme="minorEastAsia" w:hAnsiTheme="minorEastAsia"/>
                <w:bCs/>
                <w:sz w:val="24"/>
                <w:szCs w:val="24"/>
              </w:rPr>
            </w:pPr>
            <w:r>
              <w:rPr>
                <w:rFonts w:ascii="Wingdings" w:hAnsi="Wingdings" w:cs="Wingdings" w:eastAsia="Wingdings"/>
                <w:bCs/>
                <w:sz w:val="24"/>
                <w:szCs w:val="24"/>
              </w:rPr>
            </w:r>
            <w:r>
              <w:rPr>
                <w:rFonts w:ascii="Wingdings" w:hAnsi="Wingdings" w:cs="Wingdings" w:eastAsia="Wingdings"/>
                <w:bCs/>
                <w:sz w:val="24"/>
                <w:szCs w:val="24"/>
              </w:rPr>
              <w:t xml:space="preserve">¨</w:t>
            </w: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  <w:t xml:space="preserve"> </w:t>
            </w: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  <w:t xml:space="preserve">2、存在上下游关系的参与集中的经营者，在上下游市场所占的市场份额均小于25%。</w:t>
            </w:r>
            <w:r/>
          </w:p>
        </w:tc>
      </w:tr>
      <w:tr>
        <w:trPr>
          <w:trHeight w:val="285"/>
        </w:trPr>
        <w:tc>
          <w:tcPr>
            <w:shd w:val="clear" w:color="auto" w:fill="d9d9d9"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jc w:val="both"/>
              <w:spacing w:after="0" w:line="300" w:lineRule="auto"/>
              <w:rPr>
                <w:rFonts w:cs="Times New Roman" w:asciiTheme="minorEastAsia" w:hAnsiTheme="minorEastAsia"/>
                <w:bCs/>
                <w:sz w:val="24"/>
                <w:szCs w:val="24"/>
              </w:rPr>
            </w:pP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</w:r>
            <w:r/>
          </w:p>
        </w:tc>
        <w:tc>
          <w:tcPr>
            <w:gridSpan w:val="2"/>
            <w:tcW w:w="6946" w:type="dxa"/>
            <w:vAlign w:val="center"/>
            <w:textDirection w:val="lrTb"/>
            <w:noWrap w:val="false"/>
          </w:tcPr>
          <w:p>
            <w:pPr>
              <w:jc w:val="both"/>
              <w:spacing w:after="0" w:line="300" w:lineRule="auto"/>
              <w:rPr>
                <w:rFonts w:cs="Times New Roman" w:asciiTheme="minorEastAsia" w:hAnsiTheme="minorEastAsia"/>
                <w:bCs/>
                <w:sz w:val="24"/>
                <w:szCs w:val="24"/>
              </w:rPr>
            </w:pPr>
            <w:r>
              <w:rPr>
                <w:rFonts w:ascii="Wingdings" w:hAnsi="Wingdings" w:cs="Wingdings" w:eastAsia="Wingdings"/>
                <w:bCs/>
                <w:sz w:val="24"/>
                <w:szCs w:val="24"/>
              </w:rPr>
              <w:t xml:space="preserve">¨</w:t>
            </w: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  <w:r/>
          </w:p>
        </w:tc>
      </w:tr>
      <w:tr>
        <w:trPr>
          <w:trHeight w:val="870"/>
        </w:trPr>
        <w:tc>
          <w:tcPr>
            <w:shd w:val="clear" w:color="auto" w:fill="d9d9d9"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jc w:val="both"/>
              <w:spacing w:after="0" w:line="300" w:lineRule="auto"/>
              <w:rPr>
                <w:rFonts w:cs="Times New Roman" w:asciiTheme="minorEastAsia" w:hAnsiTheme="minorEastAsia"/>
                <w:bCs/>
                <w:sz w:val="24"/>
                <w:szCs w:val="24"/>
              </w:rPr>
            </w:pP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</w:r>
            <w:r/>
          </w:p>
        </w:tc>
        <w:tc>
          <w:tcPr>
            <w:gridSpan w:val="2"/>
            <w:tcW w:w="6946" w:type="dxa"/>
            <w:vAlign w:val="center"/>
            <w:textDirection w:val="lrTb"/>
            <w:noWrap w:val="false"/>
          </w:tcPr>
          <w:p>
            <w:pPr>
              <w:jc w:val="both"/>
              <w:spacing w:after="0" w:line="300" w:lineRule="auto"/>
              <w:rPr>
                <w:rFonts w:cs="Times New Roman" w:asciiTheme="minorEastAsia" w:hAnsiTheme="minorEastAsia"/>
                <w:bCs/>
                <w:sz w:val="24"/>
                <w:szCs w:val="24"/>
              </w:rPr>
            </w:pPr>
            <w:r>
              <w:rPr>
                <w:rFonts w:ascii="Wingdings" w:hAnsi="Wingdings" w:cs="Wingdings" w:eastAsia="Wingdings"/>
                <w:bCs/>
                <w:sz w:val="24"/>
                <w:szCs w:val="24"/>
              </w:rPr>
              <w:t xml:space="preserve">¨</w:t>
            </w: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  <w:t xml:space="preserve"> 4、参与集中的经营者在中国境外设立合营企业，合营企业不在中国境内从事经济活动。</w:t>
            </w:r>
            <w:r/>
          </w:p>
        </w:tc>
      </w:tr>
      <w:tr>
        <w:trPr>
          <w:trHeight w:val="264"/>
        </w:trPr>
        <w:tc>
          <w:tcPr>
            <w:shd w:val="clear" w:color="auto" w:fill="d9d9d9"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jc w:val="both"/>
              <w:spacing w:after="0" w:line="300" w:lineRule="auto"/>
              <w:rPr>
                <w:rFonts w:cs="Times New Roman" w:asciiTheme="minorEastAsia" w:hAnsiTheme="minorEastAsia"/>
                <w:bCs/>
                <w:sz w:val="24"/>
                <w:szCs w:val="24"/>
              </w:rPr>
            </w:pP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</w:r>
            <w:r/>
          </w:p>
        </w:tc>
        <w:tc>
          <w:tcPr>
            <w:gridSpan w:val="2"/>
            <w:tcW w:w="6946" w:type="dxa"/>
            <w:vAlign w:val="center"/>
            <w:textDirection w:val="lrTb"/>
            <w:noWrap w:val="false"/>
          </w:tcPr>
          <w:p>
            <w:pPr>
              <w:jc w:val="both"/>
              <w:spacing w:after="0" w:line="300" w:lineRule="auto"/>
              <w:rPr>
                <w:rFonts w:cs="Times New Roman" w:asciiTheme="minorEastAsia" w:hAnsiTheme="minorEastAsia"/>
                <w:bCs/>
                <w:sz w:val="24"/>
                <w:szCs w:val="24"/>
              </w:rPr>
            </w:pPr>
            <w:r>
              <w:rPr>
                <w:rFonts w:ascii="Wingdings" w:hAnsi="Wingdings" w:cs="Wingdings" w:eastAsia="Wingdings"/>
                <w:bCs/>
                <w:sz w:val="24"/>
                <w:szCs w:val="24"/>
              </w:rPr>
              <w:t xml:space="preserve">¨</w:t>
            </w: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  <w:r/>
          </w:p>
        </w:tc>
      </w:tr>
      <w:tr>
        <w:trPr>
          <w:trHeight w:val="345"/>
        </w:trPr>
        <w:tc>
          <w:tcPr>
            <w:shd w:val="clear" w:color="auto" w:fill="d9d9d9"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jc w:val="both"/>
              <w:spacing w:after="0" w:line="300" w:lineRule="auto"/>
              <w:rPr>
                <w:rFonts w:cs="Times New Roman" w:asciiTheme="minorEastAsia" w:hAnsiTheme="minorEastAsia"/>
                <w:bCs/>
                <w:sz w:val="24"/>
                <w:szCs w:val="24"/>
              </w:rPr>
            </w:pP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</w:r>
            <w:r/>
          </w:p>
        </w:tc>
        <w:tc>
          <w:tcPr>
            <w:gridSpan w:val="2"/>
            <w:tcW w:w="6946" w:type="dxa"/>
            <w:vAlign w:val="center"/>
            <w:textDirection w:val="lrTb"/>
            <w:noWrap w:val="false"/>
          </w:tcPr>
          <w:p>
            <w:pPr>
              <w:jc w:val="both"/>
              <w:spacing w:after="0" w:line="300" w:lineRule="auto"/>
              <w:rPr>
                <w:rFonts w:cs="Times New Roman" w:asciiTheme="minorEastAsia" w:hAnsiTheme="minorEastAsia"/>
                <w:bCs/>
                <w:sz w:val="24"/>
                <w:szCs w:val="24"/>
              </w:rPr>
            </w:pPr>
            <w:r>
              <w:rPr>
                <w:rFonts w:ascii="Wingdings" w:hAnsi="Wingdings" w:cs="Wingdings" w:eastAsia="Wingdings"/>
                <w:bCs/>
                <w:sz w:val="24"/>
                <w:szCs w:val="24"/>
              </w:rPr>
              <w:t xml:space="preserve">¨</w:t>
            </w: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  <w:t xml:space="preserve"> 6、由两个以上的经营者共同控制的合营企业，通过集中被其中一个或一个以上经营者控制。</w:t>
            </w:r>
            <w:r/>
          </w:p>
        </w:tc>
      </w:tr>
      <w:tr>
        <w:trPr>
          <w:trHeight w:val="2812"/>
        </w:trPr>
        <w:tc>
          <w:tcPr>
            <w:shd w:val="clear" w:color="auto" w:fill="d9d9d9"/>
            <w:tcW w:w="1696" w:type="dxa"/>
            <w:vAlign w:val="center"/>
            <w:textDirection w:val="lrTb"/>
            <w:noWrap w:val="false"/>
          </w:tcPr>
          <w:p>
            <w:pPr>
              <w:jc w:val="both"/>
              <w:spacing w:after="0" w:line="300" w:lineRule="auto"/>
              <w:rPr>
                <w:rFonts w:cs="Times New Roman" w:asciiTheme="minorEastAsia" w:hAnsiTheme="minorEastAsia"/>
                <w:bCs/>
                <w:sz w:val="24"/>
                <w:szCs w:val="24"/>
              </w:rPr>
            </w:pP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  <w:t xml:space="preserve">备注</w:t>
            </w:r>
            <w:r/>
          </w:p>
        </w:tc>
        <w:tc>
          <w:tcPr>
            <w:gridSpan w:val="2"/>
            <w:tcW w:w="6946" w:type="dxa"/>
            <w:vAlign w:val="center"/>
            <w:textDirection w:val="lrTb"/>
            <w:noWrap w:val="false"/>
          </w:tcPr>
          <w:p>
            <w:pPr>
              <w:jc w:val="both"/>
              <w:spacing w:after="0" w:line="300" w:lineRule="auto"/>
              <w:rPr>
                <w:rFonts w:cs="Times New Roman" w:asciiTheme="minorEastAsia" w:hAnsiTheme="minorEastAsia"/>
                <w:b/>
                <w:sz w:val="24"/>
                <w:szCs w:val="24"/>
              </w:rPr>
            </w:pPr>
            <w:r>
              <w:rPr>
                <w:rFonts w:cs="Times New Roman" w:asciiTheme="minorEastAsia" w:hAnsiTheme="minorEastAsia" w:hint="eastAsia"/>
                <w:b/>
                <w:sz w:val="24"/>
                <w:szCs w:val="24"/>
              </w:rPr>
              <w:t xml:space="preserve">横向重叠：</w:t>
            </w:r>
            <w:r/>
          </w:p>
          <w:tbl>
            <w:tblPr>
              <w:tblW w:w="6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6" w:space="0"/>
                <w:insideV w:val="single" w:color="auto" w:sz="6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3"/>
              <w:gridCol w:w="2056"/>
              <w:gridCol w:w="2553"/>
            </w:tblGrid>
            <w:tr>
              <w:trPr>
                <w:jc w:val="center"/>
                <w:trHeight w:val="397"/>
              </w:trPr>
              <w:tc>
                <w:tcPr>
                  <w:shd w:val="clear" w:color="auto" w:fill="auto"/>
                  <w:tcW w:w="1541" w:type="pct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rPr>
                      <w:rFonts w:asciiTheme="minorEastAsia" w:hAnsiTheme="minor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EastAsia" w:hAnsiTheme="minorEastAsia" w:hint="eastAsia"/>
                      <w:bCs/>
                      <w:color w:val="000000"/>
                      <w:sz w:val="24"/>
                      <w:szCs w:val="24"/>
                    </w:rPr>
                    <w:t xml:space="preserve">相关</w:t>
                  </w:r>
                  <w:r>
                    <w:rPr>
                      <w:rFonts w:asciiTheme="minorEastAsia" w:hAnsiTheme="minorEastAsia"/>
                      <w:bCs/>
                      <w:color w:val="000000"/>
                      <w:sz w:val="24"/>
                      <w:szCs w:val="24"/>
                    </w:rPr>
                    <w:t xml:space="preserve">商品</w:t>
                  </w:r>
                  <w:r>
                    <w:rPr>
                      <w:rFonts w:asciiTheme="minorEastAsia" w:hAnsiTheme="minorEastAsia" w:hint="eastAsia"/>
                      <w:bCs/>
                      <w:color w:val="000000"/>
                      <w:sz w:val="24"/>
                      <w:szCs w:val="24"/>
                    </w:rPr>
                    <w:t xml:space="preserve">市场</w:t>
                  </w:r>
                  <w:r/>
                </w:p>
              </w:tc>
              <w:tc>
                <w:tcPr>
                  <w:shd w:val="clear" w:color="auto" w:fill="auto"/>
                  <w:tcW w:w="1543" w:type="pct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rPr>
                      <w:rFonts w:asciiTheme="minorEastAsia" w:hAnsiTheme="minor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EastAsia" w:hAnsiTheme="minorEastAsia" w:hint="eastAsia"/>
                      <w:bCs/>
                      <w:color w:val="000000"/>
                      <w:sz w:val="24"/>
                      <w:szCs w:val="24"/>
                    </w:rPr>
                    <w:t xml:space="preserve">相关地域</w:t>
                  </w:r>
                  <w:r>
                    <w:rPr>
                      <w:rFonts w:asciiTheme="minorEastAsia" w:hAnsiTheme="minorEastAsia" w:hint="eastAsia"/>
                      <w:bCs/>
                      <w:color w:val="000000"/>
                      <w:sz w:val="24"/>
                      <w:szCs w:val="24"/>
                    </w:rPr>
                    <w:t xml:space="preserve">市场</w:t>
                  </w:r>
                  <w:r/>
                </w:p>
              </w:tc>
              <w:tc>
                <w:tcPr>
                  <w:shd w:val="clear" w:color="auto" w:fill="auto"/>
                  <w:tcW w:w="1916" w:type="pct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rPr>
                      <w:rFonts w:asciiTheme="minorEastAsia" w:hAnsiTheme="minor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EastAsia" w:hAnsiTheme="minorEastAsia" w:hint="eastAsia"/>
                      <w:bCs/>
                      <w:color w:val="000000"/>
                      <w:sz w:val="24"/>
                      <w:szCs w:val="24"/>
                    </w:rPr>
                    <w:t xml:space="preserve">2</w:t>
                  </w:r>
                  <w:r>
                    <w:rPr>
                      <w:rFonts w:asciiTheme="minorEastAsia" w:hAnsiTheme="minorEastAsia"/>
                      <w:bCs/>
                      <w:color w:val="000000"/>
                      <w:sz w:val="24"/>
                      <w:szCs w:val="24"/>
                    </w:rPr>
                    <w:t xml:space="preserve">021</w:t>
                  </w:r>
                  <w:r>
                    <w:rPr>
                      <w:rFonts w:asciiTheme="minorEastAsia" w:hAnsiTheme="minorEastAsia" w:hint="eastAsia"/>
                      <w:bCs/>
                      <w:color w:val="000000"/>
                      <w:sz w:val="24"/>
                      <w:szCs w:val="24"/>
                    </w:rPr>
                    <w:t xml:space="preserve">年</w:t>
                  </w:r>
                  <w:r>
                    <w:rPr>
                      <w:rFonts w:asciiTheme="minorEastAsia" w:hAnsiTheme="minorEastAsia"/>
                      <w:bCs/>
                      <w:color w:val="000000"/>
                      <w:sz w:val="24"/>
                      <w:szCs w:val="24"/>
                    </w:rPr>
                    <w:t xml:space="preserve">市场份额</w:t>
                  </w:r>
                  <w:r/>
                </w:p>
              </w:tc>
            </w:tr>
            <w:tr>
              <w:trPr>
                <w:jc w:val="center"/>
                <w:trHeight w:val="1417"/>
              </w:trPr>
              <w:tc>
                <w:tcPr>
                  <w:shd w:val="clear" w:color="auto" w:fill="auto"/>
                  <w:tcW w:w="1541" w:type="pct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rPr>
                      <w:rFonts w:asciiTheme="minorEastAsia" w:hAnsiTheme="minor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EastAsia" w:hAnsiTheme="minorEastAsia" w:hint="eastAsia"/>
                      <w:bCs/>
                      <w:color w:val="000000"/>
                      <w:sz w:val="24"/>
                      <w:szCs w:val="24"/>
                    </w:rPr>
                    <w:t xml:space="preserve">药品批发市场</w:t>
                  </w:r>
                  <w:r/>
                </w:p>
              </w:tc>
              <w:tc>
                <w:tcPr>
                  <w:shd w:val="clear" w:color="auto" w:fill="auto"/>
                  <w:tcW w:w="1543" w:type="pct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rPr>
                      <w:rFonts w:asciiTheme="minorEastAsia" w:hAnsiTheme="minor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EastAsia" w:hAnsiTheme="minorEastAsia" w:hint="eastAsia"/>
                      <w:bCs/>
                      <w:color w:val="000000"/>
                      <w:sz w:val="24"/>
                      <w:szCs w:val="24"/>
                    </w:rPr>
                    <w:t xml:space="preserve">中国境内</w:t>
                  </w:r>
                  <w:r/>
                </w:p>
              </w:tc>
              <w:tc>
                <w:tcPr>
                  <w:shd w:val="clear" w:color="auto" w:fill="auto"/>
                  <w:tcW w:w="1916" w:type="pct"/>
                  <w:vAlign w:val="center"/>
                  <w:textDirection w:val="lrTb"/>
                  <w:noWrap w:val="false"/>
                </w:tcPr>
                <w:p>
                  <w:pPr>
                    <w:jc w:val="both"/>
                    <w:rPr>
                      <w:rFonts w:asciiTheme="minorEastAsia" w:hAnsiTheme="minor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EastAsia" w:hAnsiTheme="minorEastAsia" w:hint="eastAsia"/>
                      <w:bCs/>
                      <w:color w:val="000000"/>
                      <w:sz w:val="24"/>
                      <w:szCs w:val="24"/>
                    </w:rPr>
                    <w:t xml:space="preserve">上药湖南：</w:t>
                  </w:r>
                  <w:r>
                    <w:rPr>
                      <w:rFonts w:asciiTheme="minorEastAsia" w:hAnsiTheme="minorEastAsia"/>
                      <w:bCs/>
                      <w:color w:val="000000"/>
                      <w:sz w:val="24"/>
                      <w:szCs w:val="24"/>
                    </w:rPr>
                    <w:t xml:space="preserve">5-10</w:t>
                  </w:r>
                  <w:r>
                    <w:rPr>
                      <w:rFonts w:asciiTheme="minorEastAsia" w:hAnsiTheme="minorEastAsia" w:hint="eastAsia"/>
                      <w:bCs/>
                      <w:color w:val="000000"/>
                      <w:sz w:val="24"/>
                      <w:szCs w:val="24"/>
                    </w:rPr>
                    <w:t xml:space="preserve">%</w:t>
                  </w:r>
                  <w:r/>
                </w:p>
                <w:p>
                  <w:pPr>
                    <w:jc w:val="both"/>
                    <w:rPr>
                      <w:rFonts w:asciiTheme="minorEastAsia" w:hAnsiTheme="minor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EastAsia" w:hAnsiTheme="minorEastAsia" w:hint="eastAsia"/>
                      <w:bCs/>
                      <w:color w:val="000000"/>
                      <w:sz w:val="24"/>
                      <w:szCs w:val="24"/>
                    </w:rPr>
                    <w:t xml:space="preserve">润吉药业：0-5</w:t>
                  </w:r>
                  <w:r>
                    <w:rPr>
                      <w:rFonts w:asciiTheme="minorEastAsia" w:hAnsiTheme="minorEastAsia"/>
                      <w:bCs/>
                      <w:color w:val="000000"/>
                      <w:sz w:val="24"/>
                      <w:szCs w:val="24"/>
                    </w:rPr>
                    <w:t xml:space="preserve">%</w:t>
                  </w:r>
                  <w:r/>
                </w:p>
                <w:p>
                  <w:pPr>
                    <w:jc w:val="both"/>
                    <w:rPr>
                      <w:rFonts w:asciiTheme="minorEastAsia" w:hAnsiTheme="minor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EastAsia" w:hAnsiTheme="minorEastAsia" w:hint="eastAsia"/>
                      <w:bCs/>
                      <w:color w:val="000000"/>
                      <w:sz w:val="24"/>
                      <w:szCs w:val="24"/>
                    </w:rPr>
                    <w:t xml:space="preserve">双方合计：5-10%</w:t>
                  </w:r>
                  <w:r/>
                </w:p>
              </w:tc>
            </w:tr>
          </w:tbl>
          <w:p>
            <w:pPr>
              <w:jc w:val="both"/>
              <w:spacing w:after="0" w:line="300" w:lineRule="auto"/>
              <w:rPr>
                <w:rFonts w:cs="Times New Roman" w:asciiTheme="minorEastAsia" w:hAnsiTheme="minorEastAsia"/>
                <w:bCs/>
                <w:sz w:val="24"/>
                <w:szCs w:val="24"/>
              </w:rPr>
            </w:pPr>
            <w:r>
              <w:rPr>
                <w:rFonts w:cs="Times New Roman" w:asciiTheme="minorEastAsia" w:hAnsiTheme="minorEastAsia"/>
                <w:bCs/>
                <w:sz w:val="24"/>
                <w:szCs w:val="24"/>
              </w:rPr>
            </w:r>
            <w:r/>
          </w:p>
        </w:tc>
      </w:tr>
    </w:tbl>
    <w:p>
      <w:pPr>
        <w:spacing w:after="0" w:line="240" w:lineRule="auto"/>
        <w:rPr>
          <w:rFonts w:ascii="Times New Roman" w:hAnsi="Times New Roman" w:cs="Times New Roman" w:eastAsia="仿宋_GB2312"/>
          <w:sz w:val="24"/>
          <w:szCs w:val="24"/>
        </w:rPr>
      </w:pPr>
      <w:r>
        <w:rPr>
          <w:rFonts w:ascii="Times New Roman" w:hAnsi="Times New Roman" w:cs="Times New Roman" w:eastAsia="仿宋_GB2312"/>
          <w:sz w:val="24"/>
          <w:szCs w:val="24"/>
        </w:rPr>
      </w:r>
      <w:r/>
    </w:p>
    <w:sectPr>
      <w:footnotePr/>
      <w:endnotePr/>
      <w:type w:val="nextPage"/>
      <w:pgSz w:w="12240" w:h="15840" w:orient="portrait"/>
      <w:pgMar w:top="1440" w:right="1800" w:bottom="1440" w:left="1800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黑体">
    <w:panose1 w:val="02020603050405020304"/>
  </w:font>
  <w:font w:name="仿宋_GB2312">
    <w:panose1 w:val="020B0500000000000000"/>
  </w:font>
  <w:font w:name="Wingdings">
    <w:panose1 w:val="05030102010509060703"/>
  </w:font>
  <w:font w:name="Courier New">
    <w:panose1 w:val="02070309020205020404"/>
  </w:font>
  <w:font w:name="Symbol">
    <w:panose1 w:val="02020503060805020204"/>
  </w:font>
  <w:font w:name="宋体">
    <w:panose1 w:val="02020603050405020304"/>
  </w:font>
  <w:font w:name="Times New Roman">
    <w:panose1 w:val="02020603050405020304"/>
  </w:font>
  <w:font w:name="Arial">
    <w:panose1 w:val="020B0604020202020204"/>
  </w:font>
  <w:font w:name="Calibri">
    <w:panose1 w:val="020B0604020202020204"/>
  </w:font>
  <w:font w:name="Cambria">
    <w:panose1 w:val="0202050306080502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lowerRoman"/>
      <w:isLgl w:val="false"/>
      <w:suff w:val="tab"/>
      <w:lvlText w:val="(%1)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(%1)"/>
      <w:lvlJc w:val="left"/>
      <w:pPr>
        <w:ind w:left="715" w:hanging="495"/>
      </w:pPr>
      <w:rPr>
        <w:rFonts w:hint="default"/>
      </w:rPr>
    </w:lvl>
    <w:lvl w:ilvl="1">
      <w:start w:val="1"/>
      <w:numFmt w:val="lowerLetter"/>
      <w:isLgl w:val="false"/>
      <w:suff w:val="tab"/>
      <w:lvlText w:val="%2)"/>
      <w:lvlJc w:val="left"/>
      <w:pPr>
        <w:ind w:left="1060" w:hanging="420"/>
      </w:pPr>
    </w:lvl>
    <w:lvl w:ilvl="2">
      <w:start w:val="1"/>
      <w:numFmt w:val="lowerRoman"/>
      <w:isLgl w:val="false"/>
      <w:suff w:val="tab"/>
      <w:lvlText w:val="%3."/>
      <w:lvlJc w:val="right"/>
      <w:pPr>
        <w:ind w:left="1480" w:hanging="420"/>
      </w:pPr>
    </w:lvl>
    <w:lvl w:ilvl="3">
      <w:start w:val="1"/>
      <w:numFmt w:val="decimal"/>
      <w:isLgl w:val="false"/>
      <w:suff w:val="tab"/>
      <w:lvlText w:val="%4."/>
      <w:lvlJc w:val="left"/>
      <w:pPr>
        <w:ind w:left="1900" w:hanging="420"/>
      </w:pPr>
    </w:lvl>
    <w:lvl w:ilvl="4">
      <w:start w:val="1"/>
      <w:numFmt w:val="lowerLetter"/>
      <w:isLgl w:val="false"/>
      <w:suff w:val="tab"/>
      <w:lvlText w:val="%5)"/>
      <w:lvlJc w:val="left"/>
      <w:pPr>
        <w:ind w:left="2320" w:hanging="420"/>
      </w:pPr>
    </w:lvl>
    <w:lvl w:ilvl="5">
      <w:start w:val="1"/>
      <w:numFmt w:val="lowerRoman"/>
      <w:isLgl w:val="false"/>
      <w:suff w:val="tab"/>
      <w:lvlText w:val="%6."/>
      <w:lvlJc w:val="right"/>
      <w:pPr>
        <w:ind w:left="2740" w:hanging="420"/>
      </w:pPr>
    </w:lvl>
    <w:lvl w:ilvl="6">
      <w:start w:val="1"/>
      <w:numFmt w:val="decimal"/>
      <w:isLgl w:val="false"/>
      <w:suff w:val="tab"/>
      <w:lvlText w:val="%7."/>
      <w:lvlJc w:val="left"/>
      <w:pPr>
        <w:ind w:left="3160" w:hanging="420"/>
      </w:pPr>
    </w:lvl>
    <w:lvl w:ilvl="7">
      <w:start w:val="1"/>
      <w:numFmt w:val="lowerLetter"/>
      <w:isLgl w:val="false"/>
      <w:suff w:val="tab"/>
      <w:lvlText w:val="%8)"/>
      <w:lvlJc w:val="left"/>
      <w:pPr>
        <w:ind w:left="3580" w:hanging="420"/>
      </w:pPr>
    </w:lvl>
    <w:lvl w:ilvl="8">
      <w:start w:val="1"/>
      <w:numFmt w:val="lowerRoman"/>
      <w:isLgl w:val="false"/>
      <w:suff w:val="tab"/>
      <w:lvlText w:val="%9."/>
      <w:lvlJc w:val="right"/>
      <w:pPr>
        <w:ind w:left="4000" w:hanging="42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isLgl w:val="false"/>
      <w:suff w:val="tab"/>
      <w:lvlText w:val="%2)"/>
      <w:lvlJc w:val="left"/>
      <w:pPr>
        <w:ind w:left="840" w:hanging="420"/>
      </w:pPr>
    </w:lvl>
    <w:lvl w:ilvl="2">
      <w:start w:val="1"/>
      <w:numFmt w:val="lowerRoman"/>
      <w:isLgl w:val="false"/>
      <w:suff w:val="tab"/>
      <w:lvlText w:val="%3."/>
      <w:lvlJc w:val="right"/>
      <w:pPr>
        <w:ind w:left="1260" w:hanging="420"/>
      </w:pPr>
    </w:lvl>
    <w:lvl w:ilvl="3">
      <w:start w:val="1"/>
      <w:numFmt w:val="decimal"/>
      <w:isLgl w:val="false"/>
      <w:suff w:val="tab"/>
      <w:lvlText w:val="%4."/>
      <w:lvlJc w:val="left"/>
      <w:pPr>
        <w:ind w:left="1680" w:hanging="420"/>
      </w:pPr>
    </w:lvl>
    <w:lvl w:ilvl="4">
      <w:start w:val="1"/>
      <w:numFmt w:val="lowerLetter"/>
      <w:isLgl w:val="false"/>
      <w:suff w:val="tab"/>
      <w:lvlText w:val="%5)"/>
      <w:lvlJc w:val="left"/>
      <w:pPr>
        <w:ind w:left="2100" w:hanging="420"/>
      </w:pPr>
    </w:lvl>
    <w:lvl w:ilvl="5">
      <w:start w:val="1"/>
      <w:numFmt w:val="lowerRoman"/>
      <w:isLgl w:val="false"/>
      <w:suff w:val="tab"/>
      <w:lvlText w:val="%6."/>
      <w:lvlJc w:val="right"/>
      <w:pPr>
        <w:ind w:left="2520" w:hanging="420"/>
      </w:pPr>
    </w:lvl>
    <w:lvl w:ilvl="6">
      <w:start w:val="1"/>
      <w:numFmt w:val="decimal"/>
      <w:isLgl w:val="false"/>
      <w:suff w:val="tab"/>
      <w:lvlText w:val="%7."/>
      <w:lvlJc w:val="left"/>
      <w:pPr>
        <w:ind w:left="2940" w:hanging="420"/>
      </w:pPr>
    </w:lvl>
    <w:lvl w:ilvl="7">
      <w:start w:val="1"/>
      <w:numFmt w:val="lowerLetter"/>
      <w:isLgl w:val="false"/>
      <w:suff w:val="tab"/>
      <w:lvlText w:val="%8)"/>
      <w:lvlJc w:val="left"/>
      <w:pPr>
        <w:ind w:left="3360" w:hanging="420"/>
      </w:pPr>
    </w:lvl>
    <w:lvl w:ilvl="8">
      <w:start w:val="1"/>
      <w:numFmt w:val="lowerRoman"/>
      <w:isLgl w:val="false"/>
      <w:suff w:val="tab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 w:hint="default"/>
        <w:sz w:val="22"/>
        <w:szCs w:val="22"/>
        <w:lang w:val="en-US" w:bidi="he-IL" w:eastAsia="zh-CN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48">
    <w:name w:val="Heading 1"/>
    <w:basedOn w:val="819"/>
    <w:next w:val="819"/>
    <w:link w:val="649"/>
    <w:uiPriority w:val="9"/>
    <w:qFormat/>
    <w:pPr>
      <w:keepLines/>
      <w:keepNext/>
      <w:spacing w:before="480" w:after="200"/>
      <w:outlineLvl w:val="0"/>
    </w:pPr>
    <w:rPr>
      <w:rFonts w:ascii="Arial" w:hAnsi="Arial" w:cs="Arial" w:eastAsia="Arial"/>
      <w:sz w:val="40"/>
      <w:szCs w:val="40"/>
    </w:rPr>
  </w:style>
  <w:style w:type="character" w:styleId="649">
    <w:name w:val="Heading 1 Char"/>
    <w:basedOn w:val="820"/>
    <w:link w:val="648"/>
    <w:uiPriority w:val="9"/>
    <w:rPr>
      <w:rFonts w:ascii="Arial" w:hAnsi="Arial" w:cs="Arial" w:eastAsia="Arial"/>
      <w:sz w:val="40"/>
      <w:szCs w:val="40"/>
    </w:rPr>
  </w:style>
  <w:style w:type="paragraph" w:styleId="650">
    <w:name w:val="Heading 2"/>
    <w:basedOn w:val="819"/>
    <w:next w:val="819"/>
    <w:link w:val="65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cs="Arial" w:eastAsia="Arial"/>
      <w:sz w:val="34"/>
    </w:rPr>
  </w:style>
  <w:style w:type="character" w:styleId="651">
    <w:name w:val="Heading 2 Char"/>
    <w:basedOn w:val="820"/>
    <w:link w:val="650"/>
    <w:uiPriority w:val="9"/>
    <w:rPr>
      <w:rFonts w:ascii="Arial" w:hAnsi="Arial" w:cs="Arial" w:eastAsia="Arial"/>
      <w:sz w:val="34"/>
    </w:rPr>
  </w:style>
  <w:style w:type="paragraph" w:styleId="652">
    <w:name w:val="Heading 3"/>
    <w:basedOn w:val="819"/>
    <w:next w:val="819"/>
    <w:link w:val="65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cs="Arial" w:eastAsia="Arial"/>
      <w:sz w:val="30"/>
      <w:szCs w:val="30"/>
    </w:rPr>
  </w:style>
  <w:style w:type="character" w:styleId="653">
    <w:name w:val="Heading 3 Char"/>
    <w:basedOn w:val="820"/>
    <w:link w:val="652"/>
    <w:uiPriority w:val="9"/>
    <w:rPr>
      <w:rFonts w:ascii="Arial" w:hAnsi="Arial" w:cs="Arial" w:eastAsia="Arial"/>
      <w:sz w:val="30"/>
      <w:szCs w:val="30"/>
    </w:rPr>
  </w:style>
  <w:style w:type="paragraph" w:styleId="654">
    <w:name w:val="Heading 4"/>
    <w:basedOn w:val="819"/>
    <w:next w:val="819"/>
    <w:link w:val="65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cs="Arial" w:eastAsia="Arial"/>
      <w:b/>
      <w:bCs/>
      <w:sz w:val="26"/>
      <w:szCs w:val="26"/>
    </w:rPr>
  </w:style>
  <w:style w:type="character" w:styleId="655">
    <w:name w:val="Heading 4 Char"/>
    <w:basedOn w:val="820"/>
    <w:link w:val="654"/>
    <w:uiPriority w:val="9"/>
    <w:rPr>
      <w:rFonts w:ascii="Arial" w:hAnsi="Arial" w:cs="Arial" w:eastAsia="Arial"/>
      <w:b/>
      <w:bCs/>
      <w:sz w:val="26"/>
      <w:szCs w:val="26"/>
    </w:rPr>
  </w:style>
  <w:style w:type="paragraph" w:styleId="656">
    <w:name w:val="Heading 5"/>
    <w:basedOn w:val="819"/>
    <w:next w:val="819"/>
    <w:link w:val="65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cs="Arial" w:eastAsia="Arial"/>
      <w:b/>
      <w:bCs/>
      <w:sz w:val="24"/>
      <w:szCs w:val="24"/>
    </w:rPr>
  </w:style>
  <w:style w:type="character" w:styleId="657">
    <w:name w:val="Heading 5 Char"/>
    <w:basedOn w:val="820"/>
    <w:link w:val="656"/>
    <w:uiPriority w:val="9"/>
    <w:rPr>
      <w:rFonts w:ascii="Arial" w:hAnsi="Arial" w:cs="Arial" w:eastAsia="Arial"/>
      <w:b/>
      <w:bCs/>
      <w:sz w:val="24"/>
      <w:szCs w:val="24"/>
    </w:rPr>
  </w:style>
  <w:style w:type="paragraph" w:styleId="658">
    <w:name w:val="Heading 6"/>
    <w:basedOn w:val="819"/>
    <w:next w:val="819"/>
    <w:link w:val="65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cs="Arial" w:eastAsia="Arial"/>
      <w:b/>
      <w:bCs/>
      <w:sz w:val="22"/>
      <w:szCs w:val="22"/>
    </w:rPr>
  </w:style>
  <w:style w:type="character" w:styleId="659">
    <w:name w:val="Heading 6 Char"/>
    <w:basedOn w:val="820"/>
    <w:link w:val="658"/>
    <w:uiPriority w:val="9"/>
    <w:rPr>
      <w:rFonts w:ascii="Arial" w:hAnsi="Arial" w:cs="Arial" w:eastAsia="Arial"/>
      <w:b/>
      <w:bCs/>
      <w:sz w:val="22"/>
      <w:szCs w:val="22"/>
    </w:rPr>
  </w:style>
  <w:style w:type="paragraph" w:styleId="660">
    <w:name w:val="Heading 7"/>
    <w:basedOn w:val="819"/>
    <w:next w:val="819"/>
    <w:link w:val="66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cs="Arial" w:eastAsia="Arial"/>
      <w:b/>
      <w:bCs/>
      <w:i/>
      <w:iCs/>
      <w:sz w:val="22"/>
      <w:szCs w:val="22"/>
    </w:rPr>
  </w:style>
  <w:style w:type="character" w:styleId="661">
    <w:name w:val="Heading 7 Char"/>
    <w:basedOn w:val="820"/>
    <w:link w:val="660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662">
    <w:name w:val="Heading 8"/>
    <w:basedOn w:val="819"/>
    <w:next w:val="819"/>
    <w:link w:val="66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cs="Arial" w:eastAsia="Arial"/>
      <w:i/>
      <w:iCs/>
      <w:sz w:val="22"/>
      <w:szCs w:val="22"/>
    </w:rPr>
  </w:style>
  <w:style w:type="character" w:styleId="663">
    <w:name w:val="Heading 8 Char"/>
    <w:basedOn w:val="820"/>
    <w:link w:val="662"/>
    <w:uiPriority w:val="9"/>
    <w:rPr>
      <w:rFonts w:ascii="Arial" w:hAnsi="Arial" w:cs="Arial" w:eastAsia="Arial"/>
      <w:i/>
      <w:iCs/>
      <w:sz w:val="22"/>
      <w:szCs w:val="22"/>
    </w:rPr>
  </w:style>
  <w:style w:type="paragraph" w:styleId="664">
    <w:name w:val="Heading 9"/>
    <w:basedOn w:val="819"/>
    <w:next w:val="819"/>
    <w:link w:val="66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cs="Arial" w:eastAsia="Arial"/>
      <w:i/>
      <w:iCs/>
      <w:sz w:val="21"/>
      <w:szCs w:val="21"/>
    </w:rPr>
  </w:style>
  <w:style w:type="character" w:styleId="665">
    <w:name w:val="Heading 9 Char"/>
    <w:basedOn w:val="820"/>
    <w:link w:val="664"/>
    <w:uiPriority w:val="9"/>
    <w:rPr>
      <w:rFonts w:ascii="Arial" w:hAnsi="Arial" w:cs="Arial" w:eastAsia="Arial"/>
      <w:i/>
      <w:iCs/>
      <w:sz w:val="21"/>
      <w:szCs w:val="21"/>
    </w:rPr>
  </w:style>
  <w:style w:type="paragraph" w:styleId="666">
    <w:name w:val="No Spacing"/>
    <w:uiPriority w:val="1"/>
    <w:qFormat/>
    <w:pPr>
      <w:spacing w:before="0" w:after="0" w:line="240" w:lineRule="auto"/>
    </w:pPr>
  </w:style>
  <w:style w:type="paragraph" w:styleId="667">
    <w:name w:val="Title"/>
    <w:basedOn w:val="819"/>
    <w:next w:val="819"/>
    <w:link w:val="66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68">
    <w:name w:val="Title Char"/>
    <w:basedOn w:val="820"/>
    <w:link w:val="667"/>
    <w:uiPriority w:val="10"/>
    <w:rPr>
      <w:sz w:val="48"/>
      <w:szCs w:val="48"/>
    </w:rPr>
  </w:style>
  <w:style w:type="paragraph" w:styleId="669">
    <w:name w:val="Subtitle"/>
    <w:basedOn w:val="819"/>
    <w:next w:val="819"/>
    <w:link w:val="670"/>
    <w:uiPriority w:val="11"/>
    <w:qFormat/>
    <w:pPr>
      <w:spacing w:before="200" w:after="200"/>
    </w:pPr>
    <w:rPr>
      <w:sz w:val="24"/>
      <w:szCs w:val="24"/>
    </w:rPr>
  </w:style>
  <w:style w:type="character" w:styleId="670">
    <w:name w:val="Subtitle Char"/>
    <w:basedOn w:val="820"/>
    <w:link w:val="669"/>
    <w:uiPriority w:val="11"/>
    <w:rPr>
      <w:sz w:val="24"/>
      <w:szCs w:val="24"/>
    </w:rPr>
  </w:style>
  <w:style w:type="paragraph" w:styleId="671">
    <w:name w:val="Quote"/>
    <w:basedOn w:val="819"/>
    <w:next w:val="819"/>
    <w:link w:val="672"/>
    <w:uiPriority w:val="29"/>
    <w:qFormat/>
    <w:pPr>
      <w:ind w:left="720" w:right="720"/>
    </w:pPr>
    <w:rPr>
      <w:i/>
    </w:rPr>
  </w:style>
  <w:style w:type="character" w:styleId="672">
    <w:name w:val="Quote Char"/>
    <w:link w:val="671"/>
    <w:uiPriority w:val="29"/>
    <w:rPr>
      <w:i/>
    </w:rPr>
  </w:style>
  <w:style w:type="paragraph" w:styleId="673">
    <w:name w:val="Intense Quote"/>
    <w:basedOn w:val="819"/>
    <w:next w:val="819"/>
    <w:link w:val="67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4">
    <w:name w:val="Intense Quote Char"/>
    <w:link w:val="673"/>
    <w:uiPriority w:val="30"/>
    <w:rPr>
      <w:i/>
    </w:rPr>
  </w:style>
  <w:style w:type="character" w:styleId="675">
    <w:name w:val="Header Char"/>
    <w:basedOn w:val="820"/>
    <w:link w:val="823"/>
    <w:uiPriority w:val="99"/>
  </w:style>
  <w:style w:type="character" w:styleId="676">
    <w:name w:val="Footer Char"/>
    <w:basedOn w:val="820"/>
    <w:link w:val="825"/>
    <w:uiPriority w:val="99"/>
  </w:style>
  <w:style w:type="paragraph" w:styleId="677">
    <w:name w:val="Caption"/>
    <w:basedOn w:val="819"/>
    <w:next w:val="81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78">
    <w:name w:val="Caption Char"/>
    <w:basedOn w:val="677"/>
    <w:link w:val="825"/>
    <w:uiPriority w:val="99"/>
  </w:style>
  <w:style w:type="table" w:styleId="679">
    <w:name w:val="Table Grid Light"/>
    <w:basedOn w:val="82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0">
    <w:name w:val="Plain Table 1"/>
    <w:basedOn w:val="82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1">
    <w:name w:val="Plain Table 2"/>
    <w:basedOn w:val="82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2">
    <w:name w:val="Plain Table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83">
    <w:name w:val="Plain Table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4">
    <w:name w:val="Plain Table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85">
    <w:name w:val="Grid Table 1 Light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6">
    <w:name w:val="Grid Table 1 Light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7">
    <w:name w:val="Grid Table 1 Light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8">
    <w:name w:val="Grid Table 1 Light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9">
    <w:name w:val="Grid Table 1 Light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0">
    <w:name w:val="Grid Table 1 Light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1">
    <w:name w:val="Grid Table 1 Light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Grid Table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3">
    <w:name w:val="Grid Table 2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4">
    <w:name w:val="Grid Table 2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5">
    <w:name w:val="Grid Table 2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6">
    <w:name w:val="Grid Table 2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7">
    <w:name w:val="Grid Table 2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8">
    <w:name w:val="Grid Table 2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9">
    <w:name w:val="Grid Table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3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3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3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3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3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3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4"/>
    <w:basedOn w:val="8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07">
    <w:name w:val="Grid Table 4 - Accent 1"/>
    <w:basedOn w:val="8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08">
    <w:name w:val="Grid Table 4 - Accent 2"/>
    <w:basedOn w:val="8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09">
    <w:name w:val="Grid Table 4 - Accent 3"/>
    <w:basedOn w:val="8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0">
    <w:name w:val="Grid Table 4 - Accent 4"/>
    <w:basedOn w:val="8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1">
    <w:name w:val="Grid Table 4 - Accent 5"/>
    <w:basedOn w:val="8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12">
    <w:name w:val="Grid Table 4 - Accent 6"/>
    <w:basedOn w:val="8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13">
    <w:name w:val="Grid Table 5 Dark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14">
    <w:name w:val="Grid Table 5 Dark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15">
    <w:name w:val="Grid Table 5 Dark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16">
    <w:name w:val="Grid Table 5 Dark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17">
    <w:name w:val="Grid Table 5 Dark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18">
    <w:name w:val="Grid Table 5 Dark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19">
    <w:name w:val="Grid Table 5 Dark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20">
    <w:name w:val="Grid Table 6 Colorful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1">
    <w:name w:val="Grid Table 6 Colorful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22">
    <w:name w:val="Grid Table 6 Colorful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23">
    <w:name w:val="Grid Table 6 Colorful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24">
    <w:name w:val="Grid Table 6 Colorful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25">
    <w:name w:val="Grid Table 6 Colorful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6">
    <w:name w:val="Grid Table 6 Colorful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7">
    <w:name w:val="Grid Table 7 Colorful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7 Colorful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7 Colorful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7 Colorful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7 Colorful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7 Colorful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7 Colorful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List Table 1 Light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List Table 1 Light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List Table 1 Light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List Table 1 Light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List Table 1 Light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List Table 1 Light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List Table 1 Light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List Table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42">
    <w:name w:val="List Table 2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43">
    <w:name w:val="List Table 2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44">
    <w:name w:val="List Table 2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45">
    <w:name w:val="List Table 2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46">
    <w:name w:val="List Table 2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47">
    <w:name w:val="List Table 2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48">
    <w:name w:val="List Table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List Table 3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List Table 3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List Table 3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List Table 3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List Table 3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List Table 3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List Table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4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4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4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4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4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4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5 Dark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3">
    <w:name w:val="List Table 5 Dark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4">
    <w:name w:val="List Table 5 Dark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5">
    <w:name w:val="List Table 5 Dark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6">
    <w:name w:val="List Table 5 Dark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7">
    <w:name w:val="List Table 5 Dark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8">
    <w:name w:val="List Table 5 Dark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9">
    <w:name w:val="List Table 6 Colorful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0">
    <w:name w:val="List Table 6 Colorful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1">
    <w:name w:val="List Table 6 Colorful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72">
    <w:name w:val="List Table 6 Colorful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73">
    <w:name w:val="List Table 6 Colorful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74">
    <w:name w:val="List Table 6 Colorful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75">
    <w:name w:val="List Table 6 Colorful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76">
    <w:name w:val="List Table 7 Colorful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77">
    <w:name w:val="List Table 7 Colorful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78">
    <w:name w:val="List Table 7 Colorful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79">
    <w:name w:val="List Table 7 Colorful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80">
    <w:name w:val="List Table 7 Colorful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81">
    <w:name w:val="List Table 7 Colorful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82">
    <w:name w:val="List Table 7 Colorful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83">
    <w:name w:val="Lined - Accent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4">
    <w:name w:val="Lined - Accent 1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85">
    <w:name w:val="Lined - Accent 2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86">
    <w:name w:val="Lined - Accent 3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87">
    <w:name w:val="Lined - Accent 4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88">
    <w:name w:val="Lined - Accent 5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89">
    <w:name w:val="Lined - Accent 6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90">
    <w:name w:val="Bordered &amp; Lined - Accent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1">
    <w:name w:val="Bordered &amp; Lined - Accent 1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2">
    <w:name w:val="Bordered &amp; Lined - Accent 2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3">
    <w:name w:val="Bordered &amp; Lined - Accent 3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4">
    <w:name w:val="Bordered &amp; Lined - Accent 4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5">
    <w:name w:val="Bordered &amp; Lined - Accent 5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96">
    <w:name w:val="Bordered &amp; Lined - Accent 6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97">
    <w:name w:val="Bordered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798">
    <w:name w:val="Bordered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799">
    <w:name w:val="Bordered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0">
    <w:name w:val="Bordered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1">
    <w:name w:val="Bordered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02">
    <w:name w:val="Bordered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03">
    <w:name w:val="Bordered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04">
    <w:name w:val="Footnote Text Char"/>
    <w:link w:val="827"/>
    <w:uiPriority w:val="99"/>
    <w:rPr>
      <w:sz w:val="18"/>
    </w:rPr>
  </w:style>
  <w:style w:type="paragraph" w:styleId="805">
    <w:name w:val="endnote text"/>
    <w:basedOn w:val="819"/>
    <w:link w:val="806"/>
    <w:uiPriority w:val="99"/>
    <w:semiHidden/>
    <w:unhideWhenUsed/>
    <w:pPr>
      <w:spacing w:after="0" w:line="240" w:lineRule="auto"/>
    </w:pPr>
    <w:rPr>
      <w:sz w:val="20"/>
    </w:rPr>
  </w:style>
  <w:style w:type="character" w:styleId="806">
    <w:name w:val="Endnote Text Char"/>
    <w:link w:val="805"/>
    <w:uiPriority w:val="99"/>
    <w:rPr>
      <w:sz w:val="20"/>
    </w:rPr>
  </w:style>
  <w:style w:type="character" w:styleId="807">
    <w:name w:val="endnote reference"/>
    <w:basedOn w:val="820"/>
    <w:uiPriority w:val="99"/>
    <w:semiHidden/>
    <w:unhideWhenUsed/>
    <w:rPr>
      <w:vertAlign w:val="superscript"/>
    </w:rPr>
  </w:style>
  <w:style w:type="paragraph" w:styleId="808">
    <w:name w:val="toc 1"/>
    <w:basedOn w:val="819"/>
    <w:next w:val="819"/>
    <w:uiPriority w:val="39"/>
    <w:unhideWhenUsed/>
    <w:pPr>
      <w:ind w:left="0" w:right="0" w:firstLine="0"/>
      <w:spacing w:after="57"/>
    </w:pPr>
  </w:style>
  <w:style w:type="paragraph" w:styleId="809">
    <w:name w:val="toc 2"/>
    <w:basedOn w:val="819"/>
    <w:next w:val="819"/>
    <w:uiPriority w:val="39"/>
    <w:unhideWhenUsed/>
    <w:pPr>
      <w:ind w:left="283" w:right="0" w:firstLine="0"/>
      <w:spacing w:after="57"/>
    </w:pPr>
  </w:style>
  <w:style w:type="paragraph" w:styleId="810">
    <w:name w:val="toc 3"/>
    <w:basedOn w:val="819"/>
    <w:next w:val="819"/>
    <w:uiPriority w:val="39"/>
    <w:unhideWhenUsed/>
    <w:pPr>
      <w:ind w:left="567" w:right="0" w:firstLine="0"/>
      <w:spacing w:after="57"/>
    </w:pPr>
  </w:style>
  <w:style w:type="paragraph" w:styleId="811">
    <w:name w:val="toc 4"/>
    <w:basedOn w:val="819"/>
    <w:next w:val="819"/>
    <w:uiPriority w:val="39"/>
    <w:unhideWhenUsed/>
    <w:pPr>
      <w:ind w:left="850" w:right="0" w:firstLine="0"/>
      <w:spacing w:after="57"/>
    </w:pPr>
  </w:style>
  <w:style w:type="paragraph" w:styleId="812">
    <w:name w:val="toc 5"/>
    <w:basedOn w:val="819"/>
    <w:next w:val="819"/>
    <w:uiPriority w:val="39"/>
    <w:unhideWhenUsed/>
    <w:pPr>
      <w:ind w:left="1134" w:right="0" w:firstLine="0"/>
      <w:spacing w:after="57"/>
    </w:pPr>
  </w:style>
  <w:style w:type="paragraph" w:styleId="813">
    <w:name w:val="toc 6"/>
    <w:basedOn w:val="819"/>
    <w:next w:val="819"/>
    <w:uiPriority w:val="39"/>
    <w:unhideWhenUsed/>
    <w:pPr>
      <w:ind w:left="1417" w:right="0" w:firstLine="0"/>
      <w:spacing w:after="57"/>
    </w:pPr>
  </w:style>
  <w:style w:type="paragraph" w:styleId="814">
    <w:name w:val="toc 7"/>
    <w:basedOn w:val="819"/>
    <w:next w:val="819"/>
    <w:uiPriority w:val="39"/>
    <w:unhideWhenUsed/>
    <w:pPr>
      <w:ind w:left="1701" w:right="0" w:firstLine="0"/>
      <w:spacing w:after="57"/>
    </w:pPr>
  </w:style>
  <w:style w:type="paragraph" w:styleId="815">
    <w:name w:val="toc 8"/>
    <w:basedOn w:val="819"/>
    <w:next w:val="819"/>
    <w:uiPriority w:val="39"/>
    <w:unhideWhenUsed/>
    <w:pPr>
      <w:ind w:left="1984" w:right="0" w:firstLine="0"/>
      <w:spacing w:after="57"/>
    </w:pPr>
  </w:style>
  <w:style w:type="paragraph" w:styleId="816">
    <w:name w:val="toc 9"/>
    <w:basedOn w:val="819"/>
    <w:next w:val="819"/>
    <w:uiPriority w:val="39"/>
    <w:unhideWhenUsed/>
    <w:pPr>
      <w:ind w:left="2268" w:right="0" w:firstLine="0"/>
      <w:spacing w:after="57"/>
    </w:pPr>
  </w:style>
  <w:style w:type="paragraph" w:styleId="817">
    <w:name w:val="TOC Heading"/>
    <w:uiPriority w:val="39"/>
    <w:unhideWhenUsed/>
  </w:style>
  <w:style w:type="paragraph" w:styleId="818">
    <w:name w:val="table of figures"/>
    <w:basedOn w:val="819"/>
    <w:next w:val="819"/>
    <w:uiPriority w:val="99"/>
    <w:unhideWhenUsed/>
    <w:pPr>
      <w:spacing w:after="0" w:afterAutospacing="0"/>
    </w:pPr>
  </w:style>
  <w:style w:type="paragraph" w:styleId="819" w:default="1">
    <w:name w:val="Normal"/>
    <w:qFormat/>
  </w:style>
  <w:style w:type="character" w:styleId="820" w:default="1">
    <w:name w:val="Default Paragraph Font"/>
    <w:uiPriority w:val="1"/>
    <w:semiHidden/>
    <w:unhideWhenUsed/>
  </w:style>
  <w:style w:type="table" w:styleId="82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22" w:default="1">
    <w:name w:val="No List"/>
    <w:uiPriority w:val="99"/>
    <w:semiHidden/>
    <w:unhideWhenUsed/>
  </w:style>
  <w:style w:type="paragraph" w:styleId="823">
    <w:name w:val="Header"/>
    <w:basedOn w:val="819"/>
    <w:link w:val="824"/>
    <w:uiPriority w:val="99"/>
    <w:unhideWhenUsed/>
    <w:pPr>
      <w:spacing w:after="0" w:line="240" w:lineRule="auto"/>
      <w:tabs>
        <w:tab w:val="center" w:pos="4320" w:leader="none"/>
        <w:tab w:val="right" w:pos="8640" w:leader="none"/>
      </w:tabs>
    </w:pPr>
  </w:style>
  <w:style w:type="character" w:styleId="824" w:customStyle="1">
    <w:name w:val="页眉 字符"/>
    <w:basedOn w:val="820"/>
    <w:link w:val="823"/>
    <w:uiPriority w:val="99"/>
  </w:style>
  <w:style w:type="paragraph" w:styleId="825">
    <w:name w:val="Footer"/>
    <w:basedOn w:val="819"/>
    <w:link w:val="826"/>
    <w:uiPriority w:val="99"/>
    <w:unhideWhenUsed/>
    <w:pPr>
      <w:spacing w:after="0" w:line="240" w:lineRule="auto"/>
      <w:tabs>
        <w:tab w:val="center" w:pos="4320" w:leader="none"/>
        <w:tab w:val="right" w:pos="8640" w:leader="none"/>
      </w:tabs>
    </w:pPr>
  </w:style>
  <w:style w:type="character" w:styleId="826" w:customStyle="1">
    <w:name w:val="页脚 字符"/>
    <w:basedOn w:val="820"/>
    <w:link w:val="825"/>
    <w:uiPriority w:val="99"/>
  </w:style>
  <w:style w:type="paragraph" w:styleId="827">
    <w:name w:val="footnote text"/>
    <w:basedOn w:val="819"/>
    <w:link w:val="828"/>
    <w:uiPriority w:val="99"/>
    <w:qFormat/>
    <w:pPr>
      <w:spacing w:after="0" w:line="240" w:lineRule="auto"/>
      <w:widowControl w:val="off"/>
    </w:pPr>
    <w:rPr>
      <w:rFonts w:ascii="Times New Roman" w:hAnsi="Times New Roman" w:cs="Times New Roman" w:eastAsia="宋体"/>
      <w:sz w:val="18"/>
      <w:szCs w:val="18"/>
      <w:lang w:bidi="ar-SA"/>
    </w:rPr>
  </w:style>
  <w:style w:type="character" w:styleId="828" w:customStyle="1">
    <w:name w:val="脚注文本 字符"/>
    <w:basedOn w:val="820"/>
    <w:link w:val="827"/>
    <w:uiPriority w:val="99"/>
    <w:rPr>
      <w:rFonts w:ascii="Times New Roman" w:hAnsi="Times New Roman" w:cs="Times New Roman" w:eastAsia="宋体"/>
      <w:sz w:val="18"/>
      <w:szCs w:val="18"/>
      <w:lang w:bidi="ar-SA"/>
    </w:rPr>
  </w:style>
  <w:style w:type="character" w:styleId="829">
    <w:name w:val="footnote reference"/>
    <w:rPr>
      <w:vertAlign w:val="superscript"/>
    </w:rPr>
  </w:style>
  <w:style w:type="paragraph" w:styleId="830">
    <w:name w:val="List Paragraph"/>
    <w:basedOn w:val="819"/>
    <w:uiPriority w:val="34"/>
    <w:qFormat/>
    <w:pPr>
      <w:contextualSpacing/>
      <w:ind w:left="720"/>
    </w:pPr>
  </w:style>
  <w:style w:type="character" w:styleId="831">
    <w:name w:val="Hyperlink"/>
    <w:rPr>
      <w:color w:val="0000FF"/>
      <w:u w:val="single"/>
    </w:rPr>
  </w:style>
  <w:style w:type="paragraph" w:styleId="832" w:customStyle="1">
    <w:name w:val="Body Text 1"/>
    <w:basedOn w:val="819"/>
    <w:link w:val="833"/>
    <w:qFormat/>
    <w:pPr>
      <w:ind w:left="720"/>
      <w:jc w:val="both"/>
      <w:spacing w:after="240" w:line="240" w:lineRule="auto"/>
    </w:pPr>
    <w:rPr>
      <w:rFonts w:ascii="Times New Roman" w:hAnsi="Times New Roman" w:cs="Times New Roman" w:eastAsia="宋体"/>
      <w:sz w:val="24"/>
      <w:szCs w:val="24"/>
      <w:lang w:val="en-GB" w:bidi="ar-AE" w:eastAsia="en-GB"/>
    </w:rPr>
  </w:style>
  <w:style w:type="character" w:styleId="833" w:customStyle="1">
    <w:name w:val="Body Text 1 Char"/>
    <w:basedOn w:val="820"/>
    <w:link w:val="832"/>
    <w:rPr>
      <w:rFonts w:ascii="Times New Roman" w:hAnsi="Times New Roman" w:cs="Times New Roman" w:eastAsia="宋体"/>
      <w:sz w:val="24"/>
      <w:szCs w:val="24"/>
      <w:lang w:val="en-GB" w:bidi="ar-AE" w:eastAsia="en-GB"/>
    </w:rPr>
  </w:style>
  <w:style w:type="paragraph" w:styleId="834">
    <w:name w:val="Balloon Text"/>
    <w:basedOn w:val="819"/>
    <w:link w:val="835"/>
    <w:uiPriority w:val="99"/>
    <w:semiHidden/>
    <w:unhideWhenUsed/>
    <w:pPr>
      <w:spacing w:after="0" w:line="240" w:lineRule="auto"/>
    </w:pPr>
    <w:rPr>
      <w:sz w:val="18"/>
      <w:szCs w:val="18"/>
    </w:rPr>
  </w:style>
  <w:style w:type="character" w:styleId="835" w:customStyle="1">
    <w:name w:val="批注框文本 字符"/>
    <w:basedOn w:val="820"/>
    <w:link w:val="834"/>
    <w:uiPriority w:val="99"/>
    <w:semiHidden/>
    <w:rPr>
      <w:sz w:val="18"/>
      <w:szCs w:val="18"/>
    </w:rPr>
  </w:style>
  <w:style w:type="character" w:styleId="836">
    <w:name w:val="annotation reference"/>
    <w:basedOn w:val="820"/>
    <w:uiPriority w:val="99"/>
    <w:semiHidden/>
    <w:unhideWhenUsed/>
    <w:rPr>
      <w:sz w:val="21"/>
      <w:szCs w:val="21"/>
    </w:rPr>
  </w:style>
  <w:style w:type="paragraph" w:styleId="837">
    <w:name w:val="annotation text"/>
    <w:basedOn w:val="819"/>
    <w:link w:val="838"/>
    <w:uiPriority w:val="99"/>
    <w:semiHidden/>
    <w:unhideWhenUsed/>
  </w:style>
  <w:style w:type="character" w:styleId="838" w:customStyle="1">
    <w:name w:val="批注文字 字符"/>
    <w:basedOn w:val="820"/>
    <w:link w:val="837"/>
    <w:uiPriority w:val="99"/>
    <w:semiHidden/>
  </w:style>
  <w:style w:type="paragraph" w:styleId="839">
    <w:name w:val="annotation subject"/>
    <w:basedOn w:val="837"/>
    <w:next w:val="837"/>
    <w:link w:val="840"/>
    <w:uiPriority w:val="99"/>
    <w:semiHidden/>
    <w:unhideWhenUsed/>
    <w:rPr>
      <w:b/>
      <w:bCs/>
    </w:rPr>
  </w:style>
  <w:style w:type="character" w:styleId="840" w:customStyle="1">
    <w:name w:val="批注主题 字符"/>
    <w:basedOn w:val="838"/>
    <w:link w:val="839"/>
    <w:uiPriority w:val="99"/>
    <w:semiHidden/>
    <w:rPr>
      <w:b/>
      <w:bCs/>
    </w:rPr>
  </w:style>
  <w:style w:type="table" w:styleId="841">
    <w:name w:val="Table Grid"/>
    <w:basedOn w:val="82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42">
    <w:name w:val="Revision"/>
    <w:hidden/>
    <w:uiPriority w:val="99"/>
    <w:semiHidden/>
    <w:pPr>
      <w:spacing w:after="0" w:line="240" w:lineRule="auto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
</file>

<file path=customXml/itemProps1.xml><?xml version="1.0" encoding="utf-8"?>
<ds:datastoreItem xmlns:ds="http://schemas.openxmlformats.org/officeDocument/2006/customXml" ds:itemID="{2F058CDF-0CB4-4D68-807E-29E74C022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ONLYOFFICE/7.1.1.0</Application>
  <Company>King &amp; Wood Mallesons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&amp; Wood Mallesons</dc:creator>
  <cp:lastModifiedBy>GH</cp:lastModifiedBy>
  <cp:revision>78</cp:revision>
  <dcterms:created xsi:type="dcterms:W3CDTF">2020-11-04T03:30:00Z</dcterms:created>
  <dcterms:modified xsi:type="dcterms:W3CDTF">2023-01-17T07:58:52Z</dcterms:modified>
</cp:coreProperties>
</file>