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Arial"/>
          <w:b/>
          <w:sz w:val="36"/>
          <w:szCs w:val="36"/>
        </w:rPr>
      </w:pPr>
      <w:r>
        <w:rPr>
          <w:rFonts w:ascii="宋体" w:hAnsi="宋体" w:cs="Arial"/>
          <w:b/>
          <w:sz w:val="36"/>
          <w:szCs w:val="36"/>
        </w:rPr>
        <w:t>经营者集中简易案件公示表</w:t>
      </w:r>
    </w:p>
    <w:p>
      <w:pPr>
        <w:jc w:val="left"/>
        <w:rPr>
          <w:rFonts w:ascii="Arial" w:hAnsi="Arial" w:cs="Arial"/>
          <w:sz w:val="24"/>
          <w:szCs w:val="24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德弘钰玺（天津）股权投资合伙企业（有限合伙）收购嘉吉动物蛋白（安徽）有限公司</w:t>
            </w:r>
            <w:r>
              <w:rPr>
                <w:rFonts w:ascii="Arial" w:hAnsi="Arial" w:cs="Arial"/>
                <w:bCs/>
                <w:sz w:val="24"/>
                <w:szCs w:val="24"/>
              </w:rPr>
              <w:t>等三家公司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股权</w:t>
            </w:r>
            <w:r>
              <w:rPr>
                <w:rFonts w:ascii="Arial" w:hAnsi="Arial" w:cs="Arial"/>
                <w:sz w:val="24"/>
                <w:szCs w:val="24"/>
              </w:rPr>
              <w:t>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8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德弘钰玺（天津）股权投资合伙企业（有限合伙）</w:t>
            </w:r>
            <w:r>
              <w:rPr>
                <w:rFonts w:ascii="Arial" w:hAnsi="Arial" w:cs="Arial"/>
                <w:sz w:val="24"/>
                <w:szCs w:val="24"/>
              </w:rPr>
              <w:t>（以下简称</w:t>
            </w:r>
            <w:r>
              <w:rPr>
                <w:rFonts w:hint="eastAsia" w:ascii="Arial" w:hAnsi="Arial" w:cs="Arial"/>
                <w:sz w:val="24"/>
                <w:szCs w:val="24"/>
              </w:rPr>
              <w:t>“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德弘钰玺</w:t>
            </w:r>
            <w:r>
              <w:rPr>
                <w:rFonts w:hint="eastAsia"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>）</w:t>
            </w:r>
            <w:r>
              <w:rPr>
                <w:rFonts w:hint="eastAsia" w:ascii="Arial" w:hAnsi="Arial" w:cs="Arial"/>
                <w:sz w:val="24"/>
                <w:szCs w:val="24"/>
              </w:rPr>
              <w:t>与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嘉吉投资（中国）有限公司</w:t>
            </w:r>
            <w:r>
              <w:rPr>
                <w:rFonts w:ascii="Arial" w:hAnsi="Arial" w:cs="Arial"/>
                <w:bCs/>
                <w:sz w:val="24"/>
                <w:szCs w:val="24"/>
              </w:rPr>
              <w:t>（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以下简称“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嘉吉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</w:rPr>
              <w:t>中国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”</w:t>
            </w:r>
            <w:r>
              <w:rPr>
                <w:rFonts w:ascii="Arial" w:hAnsi="Arial" w:cs="Arial"/>
                <w:bCs/>
                <w:sz w:val="24"/>
                <w:szCs w:val="24"/>
              </w:rPr>
              <w:t>）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签署协议，</w:t>
            </w:r>
            <w:r>
              <w:rPr>
                <w:rFonts w:hint="eastAsia" w:ascii="Arial" w:hAnsi="Arial" w:cs="Arial"/>
                <w:sz w:val="24"/>
                <w:szCs w:val="24"/>
              </w:rPr>
              <w:t>德弘钰玺收购</w:t>
            </w:r>
            <w:r>
              <w:rPr>
                <w:rFonts w:ascii="Arial" w:hAnsi="Arial" w:cs="Arial"/>
                <w:bCs/>
                <w:sz w:val="24"/>
                <w:szCs w:val="24"/>
              </w:rPr>
              <w:t>嘉吉动物蛋白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（</w:t>
            </w:r>
            <w:r>
              <w:rPr>
                <w:rFonts w:ascii="Arial" w:hAnsi="Arial" w:cs="Arial"/>
                <w:bCs/>
                <w:sz w:val="24"/>
                <w:szCs w:val="24"/>
              </w:rPr>
              <w:t>安徽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）</w:t>
            </w:r>
            <w:r>
              <w:rPr>
                <w:rFonts w:ascii="Arial" w:hAnsi="Arial" w:cs="Arial"/>
                <w:bCs/>
                <w:sz w:val="24"/>
                <w:szCs w:val="24"/>
              </w:rPr>
              <w:t>有限公司（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以下简称“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嘉吉安徽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”</w:t>
            </w:r>
            <w:r>
              <w:rPr>
                <w:rFonts w:ascii="Arial" w:hAnsi="Arial" w:cs="Arial"/>
                <w:bCs/>
                <w:sz w:val="24"/>
                <w:szCs w:val="24"/>
              </w:rPr>
              <w:t>）、嘉吉动物蛋白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（</w:t>
            </w:r>
            <w:r>
              <w:rPr>
                <w:rFonts w:ascii="Arial" w:hAnsi="Arial" w:cs="Arial"/>
                <w:bCs/>
                <w:sz w:val="24"/>
                <w:szCs w:val="24"/>
              </w:rPr>
              <w:t>明光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）</w:t>
            </w:r>
            <w:r>
              <w:rPr>
                <w:rFonts w:ascii="Arial" w:hAnsi="Arial" w:cs="Arial"/>
                <w:bCs/>
                <w:sz w:val="24"/>
                <w:szCs w:val="24"/>
              </w:rPr>
              <w:t>有限公司（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以下简称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嘉吉明光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”）和嘉吉蛋白营养科技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（</w:t>
            </w:r>
            <w:r>
              <w:rPr>
                <w:rFonts w:ascii="Arial" w:hAnsi="Arial" w:cs="Arial"/>
                <w:bCs/>
                <w:sz w:val="24"/>
                <w:szCs w:val="24"/>
              </w:rPr>
              <w:t>滁州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）</w:t>
            </w:r>
            <w:r>
              <w:rPr>
                <w:rFonts w:ascii="Arial" w:hAnsi="Arial" w:cs="Arial"/>
                <w:bCs/>
                <w:sz w:val="24"/>
                <w:szCs w:val="24"/>
              </w:rPr>
              <w:t>有限公司（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以下简称</w:t>
            </w:r>
            <w:r>
              <w:rPr>
                <w:rFonts w:ascii="宋体" w:hAnsi="宋体" w:cs="Arial"/>
                <w:bCs/>
                <w:sz w:val="24"/>
                <w:szCs w:val="24"/>
              </w:rPr>
              <w:t>“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嘉吉滁州</w:t>
            </w:r>
            <w:r>
              <w:rPr>
                <w:rFonts w:ascii="宋体" w:hAnsi="宋体" w:cs="Arial"/>
                <w:bCs/>
                <w:sz w:val="24"/>
                <w:szCs w:val="24"/>
              </w:rPr>
              <w:t>”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，与嘉吉安徽、嘉吉明光合称“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</w:rPr>
              <w:t>目标公司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”</w:t>
            </w:r>
            <w:r>
              <w:rPr>
                <w:rFonts w:ascii="Arial" w:hAnsi="Arial" w:cs="Arial"/>
                <w:bCs/>
                <w:sz w:val="24"/>
                <w:szCs w:val="24"/>
              </w:rPr>
              <w:t>）各</w:t>
            </w:r>
            <w:r>
              <w:rPr>
                <w:rFonts w:hint="eastAsia"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00%</w:t>
            </w:r>
            <w:r>
              <w:rPr>
                <w:rFonts w:hint="eastAsia" w:ascii="Arial" w:hAnsi="Arial" w:cs="Arial"/>
                <w:sz w:val="24"/>
                <w:szCs w:val="24"/>
              </w:rPr>
              <w:t>的股权（以下简称“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本次交易</w:t>
            </w:r>
            <w:r>
              <w:rPr>
                <w:rFonts w:hint="eastAsia" w:ascii="Arial" w:hAnsi="Arial" w:cs="Arial"/>
                <w:sz w:val="24"/>
                <w:szCs w:val="24"/>
              </w:rPr>
              <w:t>”）。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目标公司</w:t>
            </w:r>
            <w:r>
              <w:rPr>
                <w:rFonts w:hint="eastAsia" w:ascii="Arial" w:hAnsi="Arial" w:cs="Arial"/>
                <w:sz w:val="24"/>
                <w:szCs w:val="24"/>
              </w:rPr>
              <w:t>主要生产并对外销售</w:t>
            </w:r>
            <w:r>
              <w:rPr>
                <w:rFonts w:ascii="Arial" w:hAnsi="Arial" w:cs="Arial"/>
                <w:bCs/>
                <w:sz w:val="24"/>
                <w:szCs w:val="24"/>
              </w:rPr>
              <w:t>冷冻及冷鲜</w:t>
            </w:r>
            <w:r>
              <w:rPr>
                <w:rFonts w:hint="eastAsia" w:ascii="Arial" w:hAnsi="Arial" w:cs="Arial"/>
                <w:sz w:val="24"/>
                <w:szCs w:val="24"/>
              </w:rPr>
              <w:t>鸡肉产品、深加工鸡肉制品和少量冷冻牛肉产品</w:t>
            </w:r>
            <w:r>
              <w:rPr>
                <w:rFonts w:ascii="Arial" w:hAnsi="Arial" w:cs="Arial"/>
                <w:sz w:val="24"/>
                <w:szCs w:val="24"/>
              </w:rPr>
              <w:t>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本次交易前，嘉吉中国持有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目标公司各</w:t>
            </w:r>
            <w:r>
              <w:rPr>
                <w:rFonts w:hint="eastAsia"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00%</w:t>
            </w:r>
            <w:r>
              <w:rPr>
                <w:rFonts w:hint="eastAsia" w:ascii="Arial" w:hAnsi="Arial" w:cs="Arial"/>
                <w:sz w:val="24"/>
                <w:szCs w:val="24"/>
              </w:rPr>
              <w:t>的股权，单独控制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目标公司</w:t>
            </w:r>
            <w:r>
              <w:rPr>
                <w:rFonts w:hint="eastAsia" w:ascii="Arial" w:hAnsi="Arial" w:cs="Arial"/>
                <w:sz w:val="24"/>
                <w:szCs w:val="24"/>
              </w:rPr>
              <w:t>。</w:t>
            </w:r>
            <w:r>
              <w:rPr>
                <w:rFonts w:ascii="Arial" w:hAnsi="Arial" w:cs="Arial"/>
                <w:sz w:val="24"/>
                <w:szCs w:val="24"/>
              </w:rPr>
              <w:t>本次交易完成后，</w:t>
            </w:r>
            <w:r>
              <w:rPr>
                <w:rFonts w:hint="eastAsia" w:ascii="Arial" w:hAnsi="Arial" w:cs="Arial"/>
                <w:sz w:val="24"/>
                <w:szCs w:val="24"/>
              </w:rPr>
              <w:t>德弘钰玺将持有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目标公司各</w:t>
            </w:r>
            <w:r>
              <w:rPr>
                <w:rFonts w:hint="eastAsia"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00%</w:t>
            </w:r>
            <w:r>
              <w:rPr>
                <w:rFonts w:hint="eastAsia" w:ascii="Arial" w:hAnsi="Arial" w:cs="Arial"/>
                <w:sz w:val="24"/>
                <w:szCs w:val="24"/>
              </w:rPr>
              <w:t>的股权，单独控制</w:t>
            </w:r>
            <w:r>
              <w:rPr>
                <w:rFonts w:hint="eastAsia" w:ascii="Arial" w:hAnsi="Arial" w:cs="Arial"/>
                <w:bCs/>
                <w:sz w:val="24"/>
                <w:szCs w:val="24"/>
              </w:rPr>
              <w:t>目标公司</w:t>
            </w:r>
            <w:r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德弘钰玺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德弘钰玺</w:t>
            </w:r>
            <w:r>
              <w:rPr>
                <w:rFonts w:ascii="Arial" w:hAnsi="Arial" w:cs="Arial"/>
                <w:sz w:val="24"/>
                <w:szCs w:val="24"/>
              </w:rPr>
              <w:t>于</w:t>
            </w:r>
            <w:r>
              <w:rPr>
                <w:rFonts w:hint="eastAsia" w:ascii="Arial" w:hAnsi="Arial" w:cs="Arial"/>
                <w:sz w:val="24"/>
                <w:szCs w:val="24"/>
              </w:rPr>
              <w:t>202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hint="eastAsia" w:ascii="Arial" w:hAnsi="Arial" w:cs="Arial"/>
                <w:sz w:val="24"/>
                <w:szCs w:val="24"/>
              </w:rPr>
              <w:t>年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hint="eastAsia" w:ascii="Arial" w:hAnsi="Arial" w:cs="Arial"/>
                <w:sz w:val="24"/>
                <w:szCs w:val="24"/>
              </w:rPr>
              <w:t>月</w:t>
            </w:r>
            <w:r>
              <w:rPr>
                <w:rFonts w:ascii="Arial" w:hAnsi="Arial" w:cs="Arial"/>
                <w:sz w:val="24"/>
                <w:szCs w:val="24"/>
              </w:rPr>
              <w:t>29</w:t>
            </w:r>
            <w:r>
              <w:rPr>
                <w:rFonts w:hint="eastAsia" w:ascii="Arial" w:hAnsi="Arial" w:cs="Arial"/>
                <w:sz w:val="24"/>
                <w:szCs w:val="24"/>
              </w:rPr>
              <w:t>日成立于天津市，主要从事</w:t>
            </w:r>
            <w:r>
              <w:rPr>
                <w:rFonts w:ascii="Arial" w:hAnsi="Arial" w:cs="Arial"/>
                <w:sz w:val="24"/>
                <w:szCs w:val="24"/>
              </w:rPr>
              <w:t>投资</w:t>
            </w:r>
            <w:r>
              <w:rPr>
                <w:rFonts w:hint="eastAsia" w:ascii="Arial" w:hAnsi="Arial" w:cs="Arial"/>
                <w:sz w:val="24"/>
                <w:szCs w:val="24"/>
              </w:rPr>
              <w:t>管理业务。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德弘钰玺的最终控制人为自然人，主要从事私募股权投资业务。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嘉吉安徽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嘉吉安徽</w:t>
            </w:r>
            <w:r>
              <w:rPr>
                <w:rFonts w:ascii="Arial" w:hAnsi="Arial" w:cs="Arial"/>
                <w:sz w:val="24"/>
                <w:szCs w:val="24"/>
              </w:rPr>
              <w:t>于</w:t>
            </w:r>
            <w:r>
              <w:rPr>
                <w:rFonts w:hint="eastAsia" w:ascii="Arial" w:hAnsi="Arial" w:cs="Arial"/>
                <w:sz w:val="24"/>
                <w:szCs w:val="24"/>
              </w:rPr>
              <w:t>201</w:t>
            </w:r>
            <w:r>
              <w:rPr>
                <w:rFonts w:ascii="Arial" w:hAnsi="Arial" w:cs="Arial"/>
                <w:sz w:val="24"/>
                <w:szCs w:val="24"/>
              </w:rPr>
              <w:t>1年12</w:t>
            </w:r>
            <w:r>
              <w:rPr>
                <w:rFonts w:hint="eastAsia" w:ascii="Arial" w:hAnsi="Arial" w:cs="Arial"/>
                <w:sz w:val="24"/>
                <w:szCs w:val="24"/>
              </w:rPr>
              <w:t>月2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hint="eastAsia" w:ascii="Arial" w:hAnsi="Arial" w:cs="Arial"/>
                <w:sz w:val="24"/>
                <w:szCs w:val="24"/>
              </w:rPr>
              <w:t>日成立于安徽省滁州市，嘉吉安徽主要从事肉鸡的繁育、孵化、屠宰和加工，为嘉吉明光的肉鸡养殖业务生产饲料并培育种鸡（嘉吉安徽不专门对外销售饲料和种鸡）。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嘉吉安徽的最终控</w:t>
            </w:r>
            <w:bookmarkStart w:id="1" w:name="_GoBack"/>
            <w:bookmarkEnd w:id="1"/>
            <w:r>
              <w:rPr>
                <w:rFonts w:hint="eastAsia" w:ascii="Arial" w:hAnsi="Arial" w:cs="Arial"/>
                <w:sz w:val="24"/>
                <w:szCs w:val="24"/>
              </w:rPr>
              <w:t>制人为</w:t>
            </w:r>
            <w:bookmarkStart w:id="0" w:name="_Hlk79670012"/>
            <w:r>
              <w:rPr>
                <w:rFonts w:ascii="Arial" w:hAnsi="Arial" w:cs="Arial"/>
                <w:sz w:val="24"/>
                <w:szCs w:val="24"/>
              </w:rPr>
              <w:t>嘉吉公司</w:t>
            </w:r>
            <w:bookmarkEnd w:id="0"/>
            <w:r>
              <w:rPr>
                <w:rFonts w:hint="eastAsia" w:ascii="Arial" w:hAnsi="Arial" w:cs="Arial"/>
                <w:sz w:val="24"/>
                <w:szCs w:val="24"/>
              </w:rPr>
              <w:t>，主要在蛋白质和盐、动物营养与健康、农业供应链及食品原料和生物工业领域开展业务。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嘉吉明光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嘉吉明光</w:t>
            </w:r>
            <w:r>
              <w:rPr>
                <w:rFonts w:ascii="Arial" w:hAnsi="Arial" w:cs="Arial"/>
                <w:sz w:val="24"/>
                <w:szCs w:val="24"/>
              </w:rPr>
              <w:t>于</w:t>
            </w:r>
            <w:r>
              <w:rPr>
                <w:rFonts w:hint="eastAsia" w:ascii="Arial" w:hAnsi="Arial" w:cs="Arial"/>
                <w:sz w:val="24"/>
                <w:szCs w:val="24"/>
              </w:rPr>
              <w:t>2013</w:t>
            </w:r>
            <w:r>
              <w:rPr>
                <w:rFonts w:ascii="Arial" w:hAnsi="Arial" w:cs="Arial"/>
                <w:sz w:val="24"/>
                <w:szCs w:val="24"/>
              </w:rPr>
              <w:t>年12</w:t>
            </w:r>
            <w:r>
              <w:rPr>
                <w:rFonts w:hint="eastAsia" w:ascii="Arial" w:hAnsi="Arial" w:cs="Arial"/>
                <w:sz w:val="24"/>
                <w:szCs w:val="24"/>
              </w:rPr>
              <w:t>月2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hint="eastAsia" w:ascii="Arial" w:hAnsi="Arial" w:cs="Arial"/>
                <w:sz w:val="24"/>
                <w:szCs w:val="24"/>
              </w:rPr>
              <w:t>日成立于安徽省滁州市，嘉吉明光主要从事肉鸡养殖，用于自身粗加工鸡肉产品生产销售，以及供应给嘉吉滁州用于鸡肉制品深加工。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嘉吉明光的最终控制人为</w:t>
            </w:r>
            <w:r>
              <w:rPr>
                <w:rFonts w:ascii="Arial" w:hAnsi="Arial" w:cs="Arial"/>
                <w:sz w:val="24"/>
                <w:szCs w:val="24"/>
              </w:rPr>
              <w:t>嘉吉公司</w:t>
            </w:r>
            <w:r>
              <w:rPr>
                <w:rFonts w:hint="eastAsia" w:ascii="Arial" w:hAnsi="Arial" w:cs="Arial"/>
                <w:sz w:val="24"/>
                <w:szCs w:val="24"/>
              </w:rPr>
              <w:t>，其主要业务如上所述。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嘉吉滁州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嘉吉滁州</w:t>
            </w:r>
            <w:r>
              <w:rPr>
                <w:rFonts w:ascii="Arial" w:hAnsi="Arial" w:cs="Arial"/>
                <w:sz w:val="24"/>
                <w:szCs w:val="24"/>
              </w:rPr>
              <w:t>于</w:t>
            </w:r>
            <w:r>
              <w:rPr>
                <w:rFonts w:hint="eastAsia" w:ascii="Arial" w:hAnsi="Arial" w:cs="Arial"/>
                <w:sz w:val="24"/>
                <w:szCs w:val="24"/>
              </w:rPr>
              <w:t>2013</w:t>
            </w:r>
            <w:r>
              <w:rPr>
                <w:rFonts w:ascii="Arial" w:hAnsi="Arial" w:cs="Arial"/>
                <w:sz w:val="24"/>
                <w:szCs w:val="24"/>
              </w:rPr>
              <w:t>年1</w:t>
            </w:r>
            <w:r>
              <w:rPr>
                <w:rFonts w:hint="eastAsia" w:ascii="Arial" w:hAnsi="Arial" w:cs="Arial"/>
                <w:sz w:val="24"/>
                <w:szCs w:val="24"/>
              </w:rPr>
              <w:t>月2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hint="eastAsia" w:ascii="Arial" w:hAnsi="Arial" w:cs="Arial"/>
                <w:sz w:val="24"/>
                <w:szCs w:val="24"/>
              </w:rPr>
              <w:t>日成立于安徽省滁州市，嘉吉滁州主要从事鸡肉产品的深加工及销售、以及冷冻鸡肉和牛肉等产品的进口贸易等。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嘉吉滁州的最终控制人为</w:t>
            </w:r>
            <w:r>
              <w:rPr>
                <w:rFonts w:ascii="Arial" w:hAnsi="Arial" w:cs="Arial"/>
                <w:sz w:val="24"/>
                <w:szCs w:val="24"/>
              </w:rPr>
              <w:t>嘉吉公司</w:t>
            </w:r>
            <w:r>
              <w:rPr>
                <w:rFonts w:hint="eastAsia" w:ascii="Arial" w:hAnsi="Arial" w:cs="Arial"/>
                <w:sz w:val="24"/>
                <w:szCs w:val="24"/>
              </w:rPr>
              <w:t>，其主要业务如上所述。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hAnsi="Arial" w:cs="Arial"/>
                <w:sz w:val="24"/>
                <w:szCs w:val="24"/>
              </w:rPr>
              <w:t>1. 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hAnsi="Arial" w:cs="Arial"/>
                <w:bCs/>
                <w:sz w:val="24"/>
                <w:szCs w:val="24"/>
              </w:rPr>
              <w:t>2. 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sym w:font="Wingdings" w:char="F0FE"/>
            </w:r>
            <w:r>
              <w:rPr>
                <w:rFonts w:ascii="Arial" w:hAnsi="Arial" w:cs="Arial"/>
                <w:b/>
                <w:sz w:val="24"/>
                <w:szCs w:val="24"/>
              </w:rPr>
              <w:t>3. 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>4. 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>5. 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>6. 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hint="eastAsia" w:ascii="Arial" w:hAnsi="Arial" w:cs="Arial"/>
                <w:b/>
                <w:sz w:val="24"/>
                <w:szCs w:val="24"/>
                <w:u w:val="single"/>
              </w:rPr>
              <w:t>混合集中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：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022</w:t>
            </w:r>
            <w:r>
              <w:rPr>
                <w:rFonts w:hint="eastAsia" w:ascii="Arial" w:hAnsi="Arial" w:cs="Arial"/>
                <w:sz w:val="24"/>
                <w:szCs w:val="24"/>
              </w:rPr>
              <w:t>年中国境内冷鲜鸡肉市场：</w:t>
            </w:r>
          </w:p>
          <w:p>
            <w:pPr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目标公司：</w:t>
            </w:r>
            <w:r>
              <w:rPr>
                <w:rFonts w:ascii="Arial" w:hAnsi="Arial" w:cs="Arial"/>
                <w:sz w:val="24"/>
                <w:szCs w:val="24"/>
              </w:rPr>
              <w:t>[</w:t>
            </w:r>
            <w:r>
              <w:rPr>
                <w:rFonts w:hint="eastAsia"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-5</w:t>
            </w:r>
            <w:r>
              <w:rPr>
                <w:rFonts w:hint="eastAsia" w:ascii="Arial" w:hAnsi="Arial" w:cs="Arial"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%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2022</w:t>
            </w:r>
            <w:r>
              <w:rPr>
                <w:rFonts w:hint="eastAsia" w:ascii="Arial" w:hAnsi="Arial" w:cs="Arial"/>
                <w:sz w:val="24"/>
                <w:szCs w:val="24"/>
              </w:rPr>
              <w:t>年中国境内冷冻鸡肉市场：</w:t>
            </w:r>
          </w:p>
          <w:p>
            <w:pPr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目标公司：</w:t>
            </w:r>
            <w:r>
              <w:rPr>
                <w:rFonts w:ascii="Arial" w:hAnsi="Arial" w:cs="Arial"/>
                <w:sz w:val="24"/>
                <w:szCs w:val="24"/>
              </w:rPr>
              <w:t>[</w:t>
            </w:r>
            <w:r>
              <w:rPr>
                <w:rFonts w:hint="eastAsia"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-5</w:t>
            </w:r>
            <w:r>
              <w:rPr>
                <w:rFonts w:hint="eastAsia" w:ascii="Arial" w:hAnsi="Arial" w:cs="Arial"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%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2022</w:t>
            </w:r>
            <w:r>
              <w:rPr>
                <w:rFonts w:hint="eastAsia" w:ascii="Arial" w:hAnsi="Arial" w:cs="Arial"/>
                <w:sz w:val="24"/>
                <w:szCs w:val="24"/>
              </w:rPr>
              <w:t>年中国境内鸡肉制品市场：</w:t>
            </w:r>
          </w:p>
          <w:p>
            <w:pPr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目标公司：</w:t>
            </w:r>
            <w:r>
              <w:rPr>
                <w:rFonts w:ascii="Arial" w:hAnsi="Arial" w:cs="Arial"/>
                <w:sz w:val="24"/>
                <w:szCs w:val="24"/>
              </w:rPr>
              <w:t>[0-5</w:t>
            </w:r>
            <w:r>
              <w:rPr>
                <w:rFonts w:hint="eastAsia" w:ascii="Arial" w:hAnsi="Arial" w:cs="Arial"/>
                <w:sz w:val="24"/>
                <w:szCs w:val="24"/>
              </w:rPr>
              <w:t>]%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2022</w:t>
            </w:r>
            <w:r>
              <w:rPr>
                <w:rFonts w:hint="eastAsia" w:ascii="Arial" w:hAnsi="Arial" w:cs="Arial"/>
                <w:sz w:val="24"/>
                <w:szCs w:val="24"/>
              </w:rPr>
              <w:t>年</w:t>
            </w:r>
            <w:r>
              <w:rPr>
                <w:rFonts w:hint="eastAsia" w:ascii="Arial" w:hAnsi="Arial" w:cs="Arial"/>
                <w:sz w:val="24"/>
                <w:szCs w:val="24"/>
                <w:lang w:eastAsia="zh-CN"/>
              </w:rPr>
              <w:t>中国境内</w:t>
            </w:r>
            <w:r>
              <w:rPr>
                <w:rFonts w:hint="eastAsia" w:ascii="Arial" w:hAnsi="Arial" w:cs="Arial"/>
                <w:sz w:val="24"/>
                <w:szCs w:val="24"/>
              </w:rPr>
              <w:t>冷冻牛肉市场：</w:t>
            </w:r>
          </w:p>
          <w:p>
            <w:pPr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目标公司：</w:t>
            </w:r>
            <w:r>
              <w:rPr>
                <w:rFonts w:ascii="Arial" w:hAnsi="Arial" w:cs="Arial"/>
                <w:sz w:val="24"/>
                <w:szCs w:val="24"/>
              </w:rPr>
              <w:t>[0-5</w:t>
            </w:r>
            <w:r>
              <w:rPr>
                <w:rFonts w:hint="eastAsia" w:ascii="Arial" w:hAnsi="Arial" w:cs="Arial"/>
                <w:sz w:val="24"/>
                <w:szCs w:val="24"/>
              </w:rPr>
              <w:t>]%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。</w:t>
            </w:r>
          </w:p>
        </w:tc>
      </w:tr>
    </w:tbl>
    <w:p>
      <w:pPr>
        <w:pStyle w:val="7"/>
        <w:ind w:firstLine="0" w:firstLineChars="0"/>
        <w:jc w:val="left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Cs w:val="21"/>
        </w:rPr>
      </w:pP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JP Bold">
    <w:panose1 w:val="020B0800000000000000"/>
    <w:charset w:val="86"/>
    <w:family w:val="auto"/>
    <w:pitch w:val="default"/>
    <w:sig w:usb0="3000000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/>
      </w:rPr>
      <w:id w:val="-485935968"/>
    </w:sdtPr>
    <w:sdtEndPr>
      <w:rPr>
        <w:rFonts w:ascii="Times New Roman" w:hAnsi="Times New Roman"/>
      </w:rPr>
    </w:sdtEndPr>
    <w:sdtContent>
      <w:sdt>
        <w:sdtPr>
          <w:rPr>
            <w:rFonts w:ascii="Times New Roman" w:hAnsi="Times New Roman"/>
          </w:rPr>
          <w:id w:val="1257406556"/>
        </w:sdtPr>
        <w:sdtEndPr>
          <w:rPr>
            <w:rFonts w:ascii="Times New Roman" w:hAnsi="Times New Roman"/>
          </w:rPr>
        </w:sdtEndPr>
        <w:sdtContent>
          <w:p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  <w:rPr>
        <w:rFonts w:ascii="Times New Roman" w:hAnsi="Times New Roma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A4B8E"/>
    <w:multiLevelType w:val="multilevel"/>
    <w:tmpl w:val="19AA4B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760"/>
    <w:rsid w:val="000847E1"/>
    <w:rsid w:val="001D25DD"/>
    <w:rsid w:val="005777D1"/>
    <w:rsid w:val="005935E2"/>
    <w:rsid w:val="006B1760"/>
    <w:rsid w:val="0071288E"/>
    <w:rsid w:val="007379D8"/>
    <w:rsid w:val="00B13C3C"/>
    <w:rsid w:val="00BE7649"/>
    <w:rsid w:val="00DA1C6D"/>
    <w:rsid w:val="00EC5B0A"/>
    <w:rsid w:val="B7DFD00D"/>
    <w:rsid w:val="DDFC1972"/>
    <w:rsid w:val="EF72C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5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页脚 字符"/>
    <w:basedOn w:val="5"/>
    <w:link w:val="2"/>
    <w:qFormat/>
    <w:uiPriority w:val="99"/>
    <w:rPr>
      <w:rFonts w:ascii="Calibri" w:hAnsi="Calibri" w:cs="Times New Roman"/>
      <w:sz w:val="18"/>
      <w:szCs w:val="18"/>
    </w:rPr>
  </w:style>
  <w:style w:type="paragraph" w:styleId="7">
    <w:name w:val="List Paragraph"/>
    <w:basedOn w:val="1"/>
    <w:link w:val="8"/>
    <w:qFormat/>
    <w:uiPriority w:val="34"/>
    <w:pPr>
      <w:ind w:firstLine="420" w:firstLineChars="200"/>
    </w:pPr>
  </w:style>
  <w:style w:type="character" w:customStyle="1" w:styleId="8">
    <w:name w:val="列出段落 字符"/>
    <w:link w:val="7"/>
    <w:qFormat/>
    <w:locked/>
    <w:uiPriority w:val="34"/>
    <w:rPr>
      <w:rFonts w:ascii="Calibri" w:hAnsi="Calibri" w:cs="Times New Roman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4">
      <a:majorFont>
        <a:latin typeface="Arial"/>
        <a:ea typeface="仿宋_GB2312"/>
        <a:cs typeface=""/>
      </a:majorFont>
      <a:minorFont>
        <a:latin typeface="Arial"/>
        <a:ea typeface="仿宋_GB2312"/>
        <a:cs typeface="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186</Words>
  <Characters>1062</Characters>
  <Lines>8</Lines>
  <Paragraphs>2</Paragraphs>
  <TotalTime>0</TotalTime>
  <ScaleCrop>false</ScaleCrop>
  <LinksUpToDate>false</LinksUpToDate>
  <CharactersWithSpaces>1246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2023-06-14T16:31:00Z</dcterms:created>
  <dc:creator>Lin, Xixiang</dc:creator>
  <cp:lastModifiedBy>scjgj</cp:lastModifiedBy>
  <dcterms:modified xsi:type="dcterms:W3CDTF">2023-06-19T15:50:00Z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