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方正小标宋_GBK"/>
          <w:bCs/>
          <w:sz w:val="36"/>
          <w:szCs w:val="36"/>
        </w:rPr>
      </w:pPr>
      <w:r>
        <w:rPr>
          <w:rFonts w:hint="eastAsia" w:ascii="黑体" w:hAnsi="黑体" w:eastAsia="黑体" w:cs="方正小标宋_GBK"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szCs w:val="21"/>
              </w:rPr>
              <w:t>布伦泰格控股公司收购上海赛福化工发展有限公司股权案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8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snapToGrid w:val="0"/>
              <w:spacing w:after="0"/>
              <w:rPr>
                <w:highlight w:val="yellow"/>
                <w:lang w:val="en-US"/>
              </w:rPr>
            </w:pPr>
            <w:r>
              <w:rPr>
                <w:szCs w:val="21"/>
              </w:rPr>
              <w:t>布伦泰格控股公司</w:t>
            </w:r>
            <w:r>
              <w:rPr>
                <w:bCs/>
                <w:lang w:val="en-US"/>
              </w:rPr>
              <w:t>（“布伦泰格”）与</w:t>
            </w:r>
            <w:r>
              <w:rPr>
                <w:szCs w:val="21"/>
              </w:rPr>
              <w:t>上海赛福化工发展有限公司（“上海赛福”）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</w:rPr>
              <w:t>股东签署协议，由</w:t>
            </w:r>
            <w:r>
              <w:rPr>
                <w:szCs w:val="21"/>
              </w:rPr>
              <w:t>布伦泰格</w:t>
            </w:r>
            <w:r>
              <w:rPr>
                <w:rFonts w:hint="eastAsia"/>
                <w:szCs w:val="21"/>
              </w:rPr>
              <w:t>收购</w:t>
            </w:r>
            <w:r>
              <w:rPr>
                <w:szCs w:val="21"/>
              </w:rPr>
              <w:t>上海</w:t>
            </w:r>
            <w:r>
              <w:rPr>
                <w:rFonts w:hint="eastAsia"/>
                <w:szCs w:val="21"/>
              </w:rPr>
              <w:t>赛福1</w:t>
            </w:r>
            <w:r>
              <w:rPr>
                <w:szCs w:val="21"/>
              </w:rPr>
              <w:t>00</w:t>
            </w:r>
            <w:r>
              <w:rPr>
                <w:rFonts w:hint="eastAsia"/>
                <w:szCs w:val="21"/>
              </w:rPr>
              <w:t>%的股权</w:t>
            </w:r>
            <w:r>
              <w:t>。</w:t>
            </w:r>
            <w:r>
              <w:rPr>
                <w:rFonts w:hint="eastAsia"/>
              </w:rPr>
              <w:t>上海赛福主要在中国境内从</w:t>
            </w:r>
            <w:bookmarkStart w:id="0" w:name="_GoBack"/>
            <w:r>
              <w:rPr>
                <w:rFonts w:hint="eastAsia"/>
              </w:rPr>
              <w:t>事特种化学品经销业务。</w:t>
            </w:r>
            <w:r>
              <w:t>交易前，</w:t>
            </w:r>
            <w:r>
              <w:rPr>
                <w:rFonts w:hint="eastAsia"/>
              </w:rPr>
              <w:t>上海赛福的两名自然人股东</w:t>
            </w:r>
            <w:r>
              <w:t>分别持有上海赛福48.4%</w:t>
            </w:r>
            <w:r>
              <w:rPr>
                <w:rFonts w:hint="eastAsia"/>
              </w:rPr>
              <w:t>、</w:t>
            </w:r>
            <w:r>
              <w:t>46.6%的股权</w:t>
            </w:r>
            <w:r>
              <w:rPr>
                <w:rFonts w:hint="eastAsia"/>
              </w:rPr>
              <w:t>并共同控制上海赛福</w:t>
            </w:r>
            <w:r>
              <w:t>。交易后，布伦泰格将</w:t>
            </w:r>
            <w:r>
              <w:rPr>
                <w:rFonts w:hint="eastAsia"/>
              </w:rPr>
              <w:t>持有</w:t>
            </w:r>
            <w:r>
              <w:t>上海赛福100%</w:t>
            </w:r>
            <w:r>
              <w:rPr>
                <w:rFonts w:hint="eastAsia"/>
              </w:rPr>
              <w:t>的股权</w:t>
            </w:r>
            <w:r>
              <w:t>，</w:t>
            </w:r>
            <w:r>
              <w:rPr>
                <w:rFonts w:hint="eastAsia"/>
              </w:rPr>
              <w:t>单独控制</w:t>
            </w:r>
            <w:r>
              <w:t>上海赛福。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100字以内</w:t>
            </w:r>
            <w:r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lang w:val="en-US" w:eastAsia="zh-CN"/>
              </w:rPr>
              <w:t>1.</w:t>
            </w:r>
            <w:r>
              <w:rPr>
                <w:szCs w:val="21"/>
              </w:rPr>
              <w:t xml:space="preserve"> 布伦泰格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</w:pPr>
            <w:r>
              <w:rPr>
                <w:rFonts w:hint="eastAsia"/>
                <w:szCs w:val="21"/>
              </w:rPr>
              <w:t>布伦泰格于1982年11月16日成立于荷兰多德雷赫特市，为法兰克福证券交易所上市公司，主要业务为在全球范围内从事</w:t>
            </w:r>
            <w:r>
              <w:rPr>
                <w:rFonts w:hint="eastAsia"/>
              </w:rPr>
              <w:t>化学品和原料经销。</w:t>
            </w:r>
          </w:p>
          <w:p>
            <w:pPr>
              <w:adjustRightInd w:val="0"/>
              <w:snapToGrid w:val="0"/>
              <w:spacing w:after="0"/>
            </w:pPr>
            <w:r>
              <w:rPr>
                <w:rFonts w:hint="eastAsia"/>
                <w:szCs w:val="21"/>
              </w:rPr>
              <w:t>布伦泰格最终控制人为布伦泰格欧洲公司，主要业务为在全球范围内从事</w:t>
            </w:r>
            <w:r>
              <w:rPr>
                <w:rFonts w:hint="eastAsia"/>
              </w:rPr>
              <w:t>化学品和原料经销。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cs="Times New Roman"/>
                <w:lang w:eastAsia="zh-CN"/>
              </w:rPr>
              <w:t xml:space="preserve"> </w:t>
            </w:r>
            <w:r>
              <w:rPr>
                <w:szCs w:val="21"/>
                <w:lang w:eastAsia="zh-CN"/>
              </w:rPr>
              <w:t>上海赛福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bCs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上</w:t>
            </w:r>
            <w:r>
              <w:rPr>
                <w:rFonts w:hint="eastAsia"/>
                <w:bCs/>
                <w:lang w:val="en-US"/>
              </w:rPr>
              <w:t>海赛福于2</w:t>
            </w:r>
            <w:r>
              <w:rPr>
                <w:bCs/>
                <w:lang w:val="en-US"/>
              </w:rPr>
              <w:t>005</w:t>
            </w:r>
            <w:r>
              <w:rPr>
                <w:rFonts w:hint="eastAsia"/>
                <w:bCs/>
                <w:lang w:val="en-US"/>
              </w:rPr>
              <w:t>年9月2日成立于中国上海市，主要业务是在中国境内从事特种化学品经销。</w:t>
            </w:r>
          </w:p>
          <w:p>
            <w:pPr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szCs w:val="21"/>
              </w:rPr>
              <w:t>上海赛福</w:t>
            </w:r>
            <w:r>
              <w:rPr>
                <w:rFonts w:hint="eastAsia"/>
                <w:szCs w:val="21"/>
              </w:rPr>
              <w:t>最终控制人为中国籍自然人，通过上海赛福在中国境内从事相关业务。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>
              <w:rPr>
                <w:rFonts w:hint="eastAsia" w:cs="Times New Roman"/>
                <w:b/>
                <w:color w:val="000000"/>
                <w:lang w:eastAsia="zh-CN"/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2</w:t>
            </w:r>
            <w:r>
              <w:rPr>
                <w:rFonts w:cs="Times New Roman"/>
                <w:bCs/>
                <w:color w:val="000000"/>
                <w:lang w:eastAsia="zh-CN"/>
              </w:rPr>
              <w:t>022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年中国境内特种化学品经销市场：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cs="Times New Roman"/>
                <w:bCs/>
                <w:color w:val="00000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布伦泰格：0-</w:t>
            </w:r>
            <w:r>
              <w:rPr>
                <w:rFonts w:cs="Times New Roman"/>
                <w:bCs/>
                <w:color w:val="000000"/>
                <w:lang w:eastAsia="zh-CN"/>
              </w:rPr>
              <w:t>5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%，上海赛福：0-</w:t>
            </w:r>
            <w:r>
              <w:rPr>
                <w:rFonts w:cs="Times New Roman"/>
                <w:bCs/>
                <w:color w:val="000000"/>
                <w:lang w:eastAsia="zh-CN"/>
              </w:rPr>
              <w:t>5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%，各方合计：</w:t>
            </w: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0-5%</w:t>
            </w:r>
          </w:p>
        </w:tc>
      </w:tr>
    </w:tbl>
    <w:p>
      <w:pPr>
        <w:pStyle w:val="5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DejaVu Sans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removePersonalInformation/>
  <w:doNotDisplayPageBoundaries w:val="true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styleLockQFSet/>
  <w:defaultTabStop w:val="720"/>
  <w:drawingGridHorizontalSpacing w:val="120"/>
  <w:noPunctuationKerning w:val="true"/>
  <w:characterSpacingControl w:val="doNotCompress"/>
  <w:doNotValidateAgainstSchema/>
  <w:doNotDemarcateInvalidXml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A3C1B"/>
    <w:rsid w:val="000A7D6C"/>
    <w:rsid w:val="000A7D80"/>
    <w:rsid w:val="000B58E5"/>
    <w:rsid w:val="000B653C"/>
    <w:rsid w:val="000C6953"/>
    <w:rsid w:val="000E20F5"/>
    <w:rsid w:val="000E29A9"/>
    <w:rsid w:val="000E3A81"/>
    <w:rsid w:val="00107E19"/>
    <w:rsid w:val="00115F62"/>
    <w:rsid w:val="00123E26"/>
    <w:rsid w:val="00145B05"/>
    <w:rsid w:val="001639D8"/>
    <w:rsid w:val="00175B68"/>
    <w:rsid w:val="00186A05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52BD7"/>
    <w:rsid w:val="00261F94"/>
    <w:rsid w:val="00267941"/>
    <w:rsid w:val="00287E91"/>
    <w:rsid w:val="00291652"/>
    <w:rsid w:val="002964A1"/>
    <w:rsid w:val="002A25F2"/>
    <w:rsid w:val="002A7C26"/>
    <w:rsid w:val="002F09A7"/>
    <w:rsid w:val="002F3142"/>
    <w:rsid w:val="002F5271"/>
    <w:rsid w:val="00306B88"/>
    <w:rsid w:val="00310488"/>
    <w:rsid w:val="00311263"/>
    <w:rsid w:val="0034107F"/>
    <w:rsid w:val="00344D27"/>
    <w:rsid w:val="0035604C"/>
    <w:rsid w:val="00357085"/>
    <w:rsid w:val="00371332"/>
    <w:rsid w:val="00377351"/>
    <w:rsid w:val="003850D4"/>
    <w:rsid w:val="00385F00"/>
    <w:rsid w:val="003866EF"/>
    <w:rsid w:val="003A4565"/>
    <w:rsid w:val="003B27EC"/>
    <w:rsid w:val="003B2F86"/>
    <w:rsid w:val="003B4439"/>
    <w:rsid w:val="003B4C9E"/>
    <w:rsid w:val="003B517C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46353"/>
    <w:rsid w:val="0044739B"/>
    <w:rsid w:val="00451E5B"/>
    <w:rsid w:val="00464E30"/>
    <w:rsid w:val="0046786A"/>
    <w:rsid w:val="00467A6B"/>
    <w:rsid w:val="0047165A"/>
    <w:rsid w:val="004861B2"/>
    <w:rsid w:val="0049707A"/>
    <w:rsid w:val="004973DB"/>
    <w:rsid w:val="0049771A"/>
    <w:rsid w:val="004A4BF1"/>
    <w:rsid w:val="004A5FF8"/>
    <w:rsid w:val="004B1665"/>
    <w:rsid w:val="004C3420"/>
    <w:rsid w:val="004D018B"/>
    <w:rsid w:val="004D124C"/>
    <w:rsid w:val="004D1F84"/>
    <w:rsid w:val="004D4435"/>
    <w:rsid w:val="00512A53"/>
    <w:rsid w:val="00523905"/>
    <w:rsid w:val="005251B9"/>
    <w:rsid w:val="00530BB4"/>
    <w:rsid w:val="00545A47"/>
    <w:rsid w:val="0057200D"/>
    <w:rsid w:val="005761F5"/>
    <w:rsid w:val="00591CEC"/>
    <w:rsid w:val="005B0CEB"/>
    <w:rsid w:val="005B18A3"/>
    <w:rsid w:val="005D277C"/>
    <w:rsid w:val="005D6D17"/>
    <w:rsid w:val="005E7B2F"/>
    <w:rsid w:val="005F5280"/>
    <w:rsid w:val="005F572C"/>
    <w:rsid w:val="005F7223"/>
    <w:rsid w:val="00600A88"/>
    <w:rsid w:val="0060413B"/>
    <w:rsid w:val="00605EE6"/>
    <w:rsid w:val="0060669E"/>
    <w:rsid w:val="00614EBB"/>
    <w:rsid w:val="0061583E"/>
    <w:rsid w:val="00617BCA"/>
    <w:rsid w:val="00632159"/>
    <w:rsid w:val="00645B6A"/>
    <w:rsid w:val="00645DFC"/>
    <w:rsid w:val="00655225"/>
    <w:rsid w:val="00664174"/>
    <w:rsid w:val="006643EA"/>
    <w:rsid w:val="0067348D"/>
    <w:rsid w:val="00673D51"/>
    <w:rsid w:val="006745A9"/>
    <w:rsid w:val="00682729"/>
    <w:rsid w:val="006910C5"/>
    <w:rsid w:val="006B4541"/>
    <w:rsid w:val="006C2C59"/>
    <w:rsid w:val="006D1E2B"/>
    <w:rsid w:val="006D5CF3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4682"/>
    <w:rsid w:val="00797584"/>
    <w:rsid w:val="007A1E8D"/>
    <w:rsid w:val="007A2D94"/>
    <w:rsid w:val="007B651A"/>
    <w:rsid w:val="007B6ED8"/>
    <w:rsid w:val="007B75E4"/>
    <w:rsid w:val="007C123F"/>
    <w:rsid w:val="007E2608"/>
    <w:rsid w:val="007F1726"/>
    <w:rsid w:val="007F3EC1"/>
    <w:rsid w:val="0080200E"/>
    <w:rsid w:val="00803A33"/>
    <w:rsid w:val="008051ED"/>
    <w:rsid w:val="00811775"/>
    <w:rsid w:val="008248B2"/>
    <w:rsid w:val="00834D88"/>
    <w:rsid w:val="00864085"/>
    <w:rsid w:val="008803D0"/>
    <w:rsid w:val="00880F24"/>
    <w:rsid w:val="008836AF"/>
    <w:rsid w:val="00885C9B"/>
    <w:rsid w:val="00893879"/>
    <w:rsid w:val="008956BF"/>
    <w:rsid w:val="008B2172"/>
    <w:rsid w:val="008D4ED8"/>
    <w:rsid w:val="008D644E"/>
    <w:rsid w:val="008E5BCA"/>
    <w:rsid w:val="009022B0"/>
    <w:rsid w:val="00905F4A"/>
    <w:rsid w:val="009145E4"/>
    <w:rsid w:val="00917288"/>
    <w:rsid w:val="009301D9"/>
    <w:rsid w:val="0094346F"/>
    <w:rsid w:val="0095234E"/>
    <w:rsid w:val="00953187"/>
    <w:rsid w:val="009551E9"/>
    <w:rsid w:val="0096333E"/>
    <w:rsid w:val="009668EC"/>
    <w:rsid w:val="00977C3B"/>
    <w:rsid w:val="009901B5"/>
    <w:rsid w:val="00994C9D"/>
    <w:rsid w:val="00995488"/>
    <w:rsid w:val="009A0BCC"/>
    <w:rsid w:val="009A2EFA"/>
    <w:rsid w:val="009A57C5"/>
    <w:rsid w:val="009A6CD4"/>
    <w:rsid w:val="009A6E66"/>
    <w:rsid w:val="009B0211"/>
    <w:rsid w:val="009B7BDD"/>
    <w:rsid w:val="009C16F8"/>
    <w:rsid w:val="009C1DE7"/>
    <w:rsid w:val="009C5625"/>
    <w:rsid w:val="009C5962"/>
    <w:rsid w:val="009D0999"/>
    <w:rsid w:val="009E053C"/>
    <w:rsid w:val="009F0698"/>
    <w:rsid w:val="00A05705"/>
    <w:rsid w:val="00A16F03"/>
    <w:rsid w:val="00A21136"/>
    <w:rsid w:val="00A276B9"/>
    <w:rsid w:val="00A3323A"/>
    <w:rsid w:val="00A37914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82270"/>
    <w:rsid w:val="00AA0F23"/>
    <w:rsid w:val="00AA3E2F"/>
    <w:rsid w:val="00AA46CA"/>
    <w:rsid w:val="00AA535B"/>
    <w:rsid w:val="00AB4895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07C68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B0E42"/>
    <w:rsid w:val="00BD535F"/>
    <w:rsid w:val="00BE6E64"/>
    <w:rsid w:val="00BF31B7"/>
    <w:rsid w:val="00BF4F99"/>
    <w:rsid w:val="00C10048"/>
    <w:rsid w:val="00C2320E"/>
    <w:rsid w:val="00C30E9B"/>
    <w:rsid w:val="00C370C0"/>
    <w:rsid w:val="00C424FC"/>
    <w:rsid w:val="00C51ECC"/>
    <w:rsid w:val="00C600D9"/>
    <w:rsid w:val="00C67ADA"/>
    <w:rsid w:val="00C807D7"/>
    <w:rsid w:val="00C810E8"/>
    <w:rsid w:val="00C847C2"/>
    <w:rsid w:val="00CA1B1C"/>
    <w:rsid w:val="00CA6613"/>
    <w:rsid w:val="00CB762B"/>
    <w:rsid w:val="00CC69AD"/>
    <w:rsid w:val="00CF1664"/>
    <w:rsid w:val="00CF5A8A"/>
    <w:rsid w:val="00D01278"/>
    <w:rsid w:val="00D12AB1"/>
    <w:rsid w:val="00D23B36"/>
    <w:rsid w:val="00D2728F"/>
    <w:rsid w:val="00D27AEB"/>
    <w:rsid w:val="00D53BAE"/>
    <w:rsid w:val="00D57DBA"/>
    <w:rsid w:val="00D57EBC"/>
    <w:rsid w:val="00D65545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B664C"/>
    <w:rsid w:val="00DD0E0C"/>
    <w:rsid w:val="00DD7765"/>
    <w:rsid w:val="00DE298C"/>
    <w:rsid w:val="00DE522D"/>
    <w:rsid w:val="00E221FE"/>
    <w:rsid w:val="00E23955"/>
    <w:rsid w:val="00E417DF"/>
    <w:rsid w:val="00E47327"/>
    <w:rsid w:val="00E700A8"/>
    <w:rsid w:val="00E7385D"/>
    <w:rsid w:val="00E86579"/>
    <w:rsid w:val="00E90A19"/>
    <w:rsid w:val="00E91A07"/>
    <w:rsid w:val="00E974F8"/>
    <w:rsid w:val="00EA79DA"/>
    <w:rsid w:val="00EC636E"/>
    <w:rsid w:val="00EC7E55"/>
    <w:rsid w:val="00ED6F93"/>
    <w:rsid w:val="00EE7CB8"/>
    <w:rsid w:val="00EF16FB"/>
    <w:rsid w:val="00EF7930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647ED"/>
    <w:rsid w:val="00F6700E"/>
    <w:rsid w:val="00F74EC0"/>
    <w:rsid w:val="00F759BC"/>
    <w:rsid w:val="00F901CF"/>
    <w:rsid w:val="00F906EF"/>
    <w:rsid w:val="00F94806"/>
    <w:rsid w:val="00FA528A"/>
    <w:rsid w:val="00FB33FD"/>
    <w:rsid w:val="00FB58A8"/>
    <w:rsid w:val="00FB645E"/>
    <w:rsid w:val="00FC35ED"/>
    <w:rsid w:val="00FD3902"/>
    <w:rsid w:val="00FD6CD9"/>
    <w:rsid w:val="00FE20D9"/>
    <w:rsid w:val="00FF22EB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7545C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文本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文本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Revision"/>
    <w:hidden/>
    <w:unhideWhenUsed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684</Characters>
  <Lines>5</Lines>
  <Paragraphs>1</Paragraphs>
  <TotalTime>5</TotalTime>
  <ScaleCrop>false</ScaleCrop>
  <LinksUpToDate>false</LinksUpToDate>
  <CharactersWithSpaces>802</CharactersWithSpaces>
  <Application>WPS Office_11.8.2.10337_F1E327BC-269C-435d-A152-05C5408002CA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2023-06-26T17:51:00Z</dcterms:created>
  <dcterms:modified xsi:type="dcterms:W3CDTF">2023-07-24T11:27:30Z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