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方正小标宋简体" w:cs="Times New Roman"/>
          <w:kern w:val="2"/>
          <w:sz w:val="44"/>
          <w:szCs w:val="36"/>
          <w:lang w:val="en-US" w:eastAsia="zh-CN" w:bidi="ar-SA"/>
        </w:rPr>
      </w:pPr>
      <w:r>
        <w:rPr>
          <w:rFonts w:hint="eastAsia" w:ascii="黑体" w:hAnsi="黑体" w:eastAsia="黑体" w:cs="黑体"/>
          <w:bCs/>
          <w:sz w:val="36"/>
          <w:szCs w:val="36"/>
          <w:lang w:val="en-US" w:eastAsia="zh-CN"/>
        </w:rPr>
        <w:t xml:space="preserve"> </w:t>
      </w:r>
      <w:r>
        <w:rPr>
          <w:rFonts w:ascii="Times New Roman" w:hAnsi="Times New Roman" w:eastAsia="方正小标宋简体" w:cs="Times New Roman"/>
          <w:kern w:val="2"/>
          <w:sz w:val="44"/>
          <w:szCs w:val="36"/>
          <w:lang w:val="en-US" w:eastAsia="zh-CN" w:bidi="ar-SA"/>
        </w:rPr>
        <w:t>经营者集中简易案件公示表</w:t>
      </w:r>
    </w:p>
    <w:tbl>
      <w:tblPr>
        <w:tblStyle w:val="3"/>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26" w:hRule="atLeast"/>
        </w:trPr>
        <w:tc>
          <w:tcPr>
            <w:tcW w:w="1940" w:type="dxa"/>
            <w:shd w:val="clear" w:color="auto" w:fill="D9D9D9"/>
            <w:noWrap w:val="0"/>
            <w:vAlign w:val="center"/>
          </w:tcPr>
          <w:p>
            <w:pPr>
              <w:pStyle w:val="2"/>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rPr>
              <w:t>案件名称</w:t>
            </w:r>
          </w:p>
        </w:tc>
        <w:tc>
          <w:tcPr>
            <w:tcW w:w="7700" w:type="dxa"/>
            <w:gridSpan w:val="2"/>
            <w:noWrap w:val="0"/>
            <w:vAlign w:val="center"/>
          </w:tcPr>
          <w:p>
            <w:pPr>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val="en-US"/>
              </w:rPr>
              <w:t>香港机场物流服务有限公司与东莞港务集团有限公司新设合营企业案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1" w:hRule="atLeast"/>
        </w:trPr>
        <w:tc>
          <w:tcPr>
            <w:tcW w:w="1940" w:type="dxa"/>
            <w:shd w:val="clear" w:color="auto" w:fill="D9D9D9"/>
            <w:noWrap w:val="0"/>
            <w:vAlign w:val="center"/>
          </w:tcPr>
          <w:p>
            <w:pPr>
              <w:pStyle w:val="2"/>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eastAsia="zh-CN"/>
              </w:rPr>
              <w:t>交易概况（限200字内）</w:t>
            </w:r>
          </w:p>
        </w:tc>
        <w:tc>
          <w:tcPr>
            <w:tcW w:w="7700" w:type="dxa"/>
            <w:gridSpan w:val="2"/>
            <w:noWrap w:val="0"/>
            <w:vAlign w:val="center"/>
          </w:tcPr>
          <w:p>
            <w:pPr>
              <w:widowControl w:val="0"/>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val="en-US"/>
              </w:rPr>
              <w:t>香港机场物流服务有限公司（“</w:t>
            </w:r>
            <w:r>
              <w:rPr>
                <w:rFonts w:hint="eastAsia" w:asciiTheme="minorEastAsia" w:hAnsiTheme="minorEastAsia" w:eastAsiaTheme="minorEastAsia" w:cstheme="minorEastAsia"/>
                <w:b/>
                <w:bCs/>
                <w:color w:val="000000"/>
                <w:sz w:val="21"/>
                <w:szCs w:val="21"/>
                <w:lang w:val="en-US"/>
              </w:rPr>
              <w:t>机管局物流公司</w:t>
            </w:r>
            <w:r>
              <w:rPr>
                <w:rFonts w:hint="eastAsia" w:asciiTheme="minorEastAsia" w:hAnsiTheme="minorEastAsia" w:eastAsiaTheme="minorEastAsia" w:cstheme="minorEastAsia"/>
                <w:bCs/>
                <w:color w:val="000000"/>
                <w:sz w:val="21"/>
                <w:szCs w:val="21"/>
                <w:lang w:val="en-US"/>
              </w:rPr>
              <w:t>”）与东莞港务集团有限公司（“</w:t>
            </w:r>
            <w:r>
              <w:rPr>
                <w:rFonts w:hint="eastAsia" w:asciiTheme="minorEastAsia" w:hAnsiTheme="minorEastAsia" w:eastAsiaTheme="minorEastAsia" w:cstheme="minorEastAsia"/>
                <w:b/>
                <w:bCs/>
                <w:color w:val="000000"/>
                <w:sz w:val="21"/>
                <w:szCs w:val="21"/>
                <w:lang w:val="en-US"/>
              </w:rPr>
              <w:t>东莞港务集团</w:t>
            </w:r>
            <w:r>
              <w:rPr>
                <w:rFonts w:hint="eastAsia" w:asciiTheme="minorEastAsia" w:hAnsiTheme="minorEastAsia" w:eastAsiaTheme="minorEastAsia" w:cstheme="minorEastAsia"/>
                <w:bCs/>
                <w:color w:val="000000"/>
                <w:sz w:val="21"/>
                <w:szCs w:val="21"/>
                <w:lang w:val="en-US"/>
              </w:rPr>
              <w:t>”）</w:t>
            </w:r>
            <w:r>
              <w:rPr>
                <w:rFonts w:hint="eastAsia" w:asciiTheme="minorEastAsia" w:hAnsiTheme="minorEastAsia" w:eastAsiaTheme="minorEastAsia" w:cstheme="minorEastAsia"/>
                <w:bCs/>
                <w:color w:val="000000"/>
                <w:sz w:val="21"/>
                <w:szCs w:val="21"/>
                <w:lang w:val="en-US" w:eastAsia="zh-CN"/>
              </w:rPr>
              <w:t>拟</w:t>
            </w:r>
            <w:r>
              <w:rPr>
                <w:rFonts w:hint="eastAsia" w:asciiTheme="minorEastAsia" w:hAnsiTheme="minorEastAsia" w:eastAsiaTheme="minorEastAsia" w:cstheme="minorEastAsia"/>
                <w:bCs/>
                <w:color w:val="000000"/>
                <w:sz w:val="21"/>
                <w:szCs w:val="21"/>
                <w:lang w:val="en-US"/>
              </w:rPr>
              <w:t>设立一家合营企业，负责开发、投资、融资和持有东莞-香港国际机场物流园暨空侧海空联运码头的项目用地和相关设施。交易后，机管局物流公司和东莞港务集团将分别持有</w:t>
            </w:r>
            <w:r>
              <w:rPr>
                <w:rFonts w:hint="eastAsia" w:asciiTheme="minorEastAsia" w:hAnsiTheme="minorEastAsia" w:eastAsiaTheme="minorEastAsia" w:cstheme="minorEastAsia"/>
                <w:bCs/>
                <w:color w:val="000000"/>
                <w:sz w:val="21"/>
                <w:szCs w:val="21"/>
                <w:lang w:val="en-US" w:eastAsia="zh-CN"/>
              </w:rPr>
              <w:t>合营企业</w:t>
            </w:r>
            <w:r>
              <w:rPr>
                <w:rFonts w:hint="eastAsia" w:asciiTheme="minorEastAsia" w:hAnsiTheme="minorEastAsia" w:eastAsiaTheme="minorEastAsia" w:cstheme="minorEastAsia"/>
                <w:bCs/>
                <w:color w:val="000000"/>
                <w:sz w:val="21"/>
                <w:szCs w:val="21"/>
                <w:lang w:val="en-US"/>
              </w:rPr>
              <w:t>60%和40%的股权</w:t>
            </w:r>
            <w:r>
              <w:rPr>
                <w:rFonts w:hint="eastAsia" w:asciiTheme="minorEastAsia" w:hAnsiTheme="minorEastAsia" w:eastAsiaTheme="minorEastAsia" w:cstheme="minorEastAsia"/>
                <w:bCs/>
                <w:color w:val="000000"/>
                <w:sz w:val="21"/>
                <w:szCs w:val="21"/>
                <w:lang w:val="en-US" w:eastAsia="zh-CN"/>
              </w:rPr>
              <w:t>，</w:t>
            </w:r>
            <w:r>
              <w:rPr>
                <w:rFonts w:hint="eastAsia" w:asciiTheme="minorEastAsia" w:hAnsiTheme="minorEastAsia" w:eastAsiaTheme="minorEastAsia" w:cstheme="minorEastAsia"/>
                <w:bCs/>
                <w:color w:val="000000"/>
                <w:sz w:val="21"/>
                <w:szCs w:val="21"/>
                <w:lang w:val="en-US"/>
              </w:rPr>
              <w:t>共同控制</w:t>
            </w:r>
            <w:r>
              <w:rPr>
                <w:rFonts w:hint="eastAsia" w:asciiTheme="minorEastAsia" w:hAnsiTheme="minorEastAsia" w:eastAsiaTheme="minorEastAsia" w:cstheme="minorEastAsia"/>
                <w:bCs/>
                <w:color w:val="000000"/>
                <w:sz w:val="21"/>
                <w:szCs w:val="21"/>
                <w:lang w:val="en-US" w:eastAsia="zh-CN"/>
              </w:rPr>
              <w:t>合营企业</w:t>
            </w:r>
            <w:r>
              <w:rPr>
                <w:rFonts w:hint="eastAsia" w:asciiTheme="minorEastAsia" w:hAnsiTheme="minorEastAsia" w:eastAsiaTheme="minorEastAsia" w:cstheme="minorEastAsia"/>
                <w:bCs/>
                <w:color w:val="000000"/>
                <w:sz w:val="21"/>
                <w:szCs w:val="21"/>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pStyle w:val="2"/>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eastAsia="zh-CN"/>
              </w:rPr>
              <w:t>参与集中的经营者简介（每个限</w:t>
            </w:r>
            <w:r>
              <w:rPr>
                <w:rFonts w:hint="eastAsia" w:asciiTheme="minorEastAsia" w:hAnsiTheme="minorEastAsia" w:eastAsiaTheme="minorEastAsia" w:cstheme="minorEastAsia"/>
                <w:bCs/>
                <w:color w:val="000000"/>
                <w:sz w:val="21"/>
                <w:szCs w:val="21"/>
                <w:lang w:val="en-US" w:eastAsia="zh-CN"/>
              </w:rPr>
              <w:t>100字以内</w:t>
            </w:r>
            <w:r>
              <w:rPr>
                <w:rFonts w:hint="eastAsia" w:asciiTheme="minorEastAsia" w:hAnsiTheme="minorEastAsia" w:eastAsiaTheme="minorEastAsia" w:cstheme="minorEastAsia"/>
                <w:bCs/>
                <w:color w:val="000000"/>
                <w:sz w:val="21"/>
                <w:szCs w:val="21"/>
                <w:lang w:eastAsia="zh-CN"/>
              </w:rPr>
              <w:t>）</w:t>
            </w:r>
          </w:p>
        </w:tc>
        <w:tc>
          <w:tcPr>
            <w:tcW w:w="1607" w:type="dxa"/>
            <w:noWrap w:val="0"/>
            <w:vAlign w:val="center"/>
          </w:tcPr>
          <w:p>
            <w:pPr>
              <w:pStyle w:val="2"/>
              <w:adjustRightInd w:val="0"/>
              <w:snapToGrid w:val="0"/>
              <w:spacing w:after="0"/>
              <w:rPr>
                <w:rFonts w:hint="eastAsia" w:ascii="宋体" w:hAnsi="宋体" w:eastAsia="宋体" w:cs="宋体"/>
                <w:sz w:val="21"/>
                <w:szCs w:val="21"/>
                <w:lang w:eastAsia="zh-CN"/>
              </w:rPr>
            </w:pPr>
            <w:r>
              <w:rPr>
                <w:rFonts w:hint="eastAsia" w:asciiTheme="minorEastAsia" w:hAnsiTheme="minorEastAsia" w:eastAsiaTheme="minorEastAsia" w:cstheme="minorEastAsia"/>
                <w:bCs/>
                <w:color w:val="000000"/>
                <w:sz w:val="21"/>
                <w:szCs w:val="21"/>
                <w:lang w:val="en-US" w:eastAsia="zh-CN"/>
              </w:rPr>
              <w:t>1.</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bCs/>
                <w:color w:val="000000"/>
                <w:sz w:val="21"/>
                <w:szCs w:val="21"/>
                <w:lang w:eastAsia="zh-CN"/>
              </w:rPr>
              <w:t>机管局物流公司</w:t>
            </w:r>
          </w:p>
        </w:tc>
        <w:tc>
          <w:tcPr>
            <w:tcW w:w="6093" w:type="dxa"/>
            <w:noWrap w:val="0"/>
            <w:vAlign w:val="center"/>
          </w:tcPr>
          <w:p>
            <w:pPr>
              <w:widowControl w:val="0"/>
              <w:adjustRightInd w:val="0"/>
              <w:snapToGrid w:val="0"/>
              <w:spacing w:after="0"/>
              <w:rPr>
                <w:rFonts w:hint="eastAsia" w:asciiTheme="minorEastAsia" w:hAnsiTheme="minorEastAsia" w:eastAsiaTheme="minorEastAsia" w:cstheme="minorEastAsia"/>
                <w:bCs/>
                <w:color w:val="000000"/>
                <w:sz w:val="21"/>
                <w:szCs w:val="21"/>
                <w:lang w:bidi="en-US"/>
              </w:rPr>
            </w:pPr>
            <w:r>
              <w:rPr>
                <w:rFonts w:hint="eastAsia" w:asciiTheme="minorEastAsia" w:hAnsiTheme="minorEastAsia" w:eastAsiaTheme="minorEastAsia" w:cstheme="minorEastAsia"/>
                <w:bCs/>
                <w:color w:val="000000"/>
                <w:sz w:val="21"/>
                <w:szCs w:val="21"/>
              </w:rPr>
              <w:t>机管局物流公司于</w:t>
            </w:r>
            <w:r>
              <w:rPr>
                <w:rFonts w:hint="eastAsia" w:asciiTheme="minorEastAsia" w:hAnsiTheme="minorEastAsia" w:eastAsiaTheme="minorEastAsia" w:cstheme="minorEastAsia"/>
                <w:bCs/>
                <w:color w:val="000000"/>
                <w:sz w:val="21"/>
                <w:szCs w:val="21"/>
                <w:lang w:bidi="en-US"/>
              </w:rPr>
              <w:t>2003年6月30日成立于中国香港，主要从事香港国际机场的运营业务。</w:t>
            </w:r>
          </w:p>
          <w:p>
            <w:pPr>
              <w:widowControl w:val="0"/>
              <w:adjustRightInd w:val="0"/>
              <w:snapToGrid w:val="0"/>
              <w:spacing w:after="0"/>
              <w:rPr>
                <w:rFonts w:hint="eastAsia" w:ascii="宋体" w:hAnsi="宋体" w:eastAsia="宋体" w:cs="宋体"/>
                <w:sz w:val="21"/>
                <w:szCs w:val="21"/>
              </w:rPr>
            </w:pPr>
            <w:r>
              <w:rPr>
                <w:rFonts w:hint="eastAsia" w:asciiTheme="minorEastAsia" w:hAnsiTheme="minorEastAsia" w:eastAsiaTheme="minorEastAsia" w:cstheme="minorEastAsia"/>
                <w:bCs/>
                <w:color w:val="000000"/>
                <w:sz w:val="21"/>
                <w:szCs w:val="21"/>
              </w:rPr>
              <w:t>机管局物流公司的最终控制人为</w:t>
            </w:r>
            <w:r>
              <w:rPr>
                <w:rFonts w:hint="eastAsia" w:asciiTheme="minorEastAsia" w:hAnsiTheme="minorEastAsia" w:eastAsiaTheme="minorEastAsia" w:cstheme="minorEastAsia"/>
                <w:bCs/>
                <w:color w:val="000000"/>
                <w:sz w:val="21"/>
                <w:szCs w:val="21"/>
                <w:lang w:val="en-US" w:bidi="en-US"/>
              </w:rPr>
              <w:t>香港机管局。香港机管局主要负责营运及发展香港国际机场，并通过合资企业在中国境内</w:t>
            </w:r>
            <w:r>
              <w:rPr>
                <w:rFonts w:hint="eastAsia" w:asciiTheme="minorEastAsia" w:hAnsiTheme="minorEastAsia" w:eastAsiaTheme="minorEastAsia" w:cstheme="minorEastAsia"/>
                <w:bCs/>
                <w:color w:val="000000"/>
                <w:sz w:val="21"/>
                <w:szCs w:val="21"/>
                <w:lang w:bidi="en-US"/>
              </w:rPr>
              <w:t>从事珠海机场、杭州萧山国际机场及上海虹桥国际机场的管理和营运及相关服务</w:t>
            </w:r>
            <w:r>
              <w:rPr>
                <w:rFonts w:hint="eastAsia" w:asciiTheme="minorEastAsia" w:hAnsiTheme="minorEastAsia" w:eastAsiaTheme="minorEastAsia" w:cstheme="minorEastAsia"/>
                <w:bCs/>
                <w:color w:val="000000"/>
                <w:sz w:val="21"/>
                <w:szCs w:val="21"/>
                <w:lang w:val="en-US" w:bidi="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pStyle w:val="2"/>
              <w:adjustRightInd w:val="0"/>
              <w:snapToGrid w:val="0"/>
              <w:spacing w:after="0"/>
              <w:rPr>
                <w:rFonts w:hint="eastAsia" w:ascii="宋体" w:hAnsi="宋体" w:eastAsia="宋体" w:cs="宋体"/>
                <w:sz w:val="21"/>
                <w:szCs w:val="21"/>
                <w:lang w:val="en-US"/>
              </w:rPr>
            </w:pPr>
          </w:p>
        </w:tc>
        <w:tc>
          <w:tcPr>
            <w:tcW w:w="1607" w:type="dxa"/>
            <w:noWrap w:val="0"/>
            <w:vAlign w:val="center"/>
          </w:tcPr>
          <w:p>
            <w:pPr>
              <w:pStyle w:val="2"/>
              <w:adjustRightInd w:val="0"/>
              <w:snapToGrid w:val="0"/>
              <w:spacing w:after="0"/>
              <w:rPr>
                <w:rFonts w:hint="eastAsia" w:ascii="宋体" w:hAnsi="宋体" w:eastAsia="宋体" w:cs="宋体"/>
                <w:sz w:val="21"/>
                <w:szCs w:val="21"/>
                <w:lang w:eastAsia="zh-CN"/>
              </w:rPr>
            </w:pPr>
            <w:r>
              <w:rPr>
                <w:rFonts w:hint="eastAsia" w:asciiTheme="minorEastAsia" w:hAnsiTheme="minorEastAsia" w:eastAsiaTheme="minorEastAsia" w:cstheme="minorEastAsia"/>
                <w:bCs/>
                <w:color w:val="000000"/>
                <w:sz w:val="21"/>
                <w:szCs w:val="21"/>
                <w:lang w:val="en-US" w:eastAsia="zh-CN"/>
              </w:rPr>
              <w:t>2.</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bCs/>
                <w:color w:val="000000"/>
                <w:sz w:val="21"/>
                <w:szCs w:val="21"/>
                <w:lang w:eastAsia="zh-CN"/>
              </w:rPr>
              <w:t>东莞港务集团</w:t>
            </w:r>
          </w:p>
        </w:tc>
        <w:tc>
          <w:tcPr>
            <w:tcW w:w="6093" w:type="dxa"/>
            <w:noWrap w:val="0"/>
            <w:vAlign w:val="center"/>
          </w:tcPr>
          <w:p>
            <w:pPr>
              <w:adjustRightInd w:val="0"/>
              <w:snapToGrid w:val="0"/>
              <w:spacing w:after="0"/>
              <w:rPr>
                <w:rFonts w:hint="eastAsia" w:asciiTheme="minorEastAsia" w:hAnsiTheme="minorEastAsia" w:eastAsiaTheme="minorEastAsia" w:cstheme="minorEastAsia"/>
                <w:bCs/>
                <w:color w:val="000000"/>
                <w:sz w:val="21"/>
                <w:szCs w:val="21"/>
                <w:lang w:val="en-US"/>
              </w:rPr>
            </w:pPr>
            <w:r>
              <w:rPr>
                <w:rFonts w:hint="eastAsia" w:asciiTheme="minorEastAsia" w:hAnsiTheme="minorEastAsia" w:eastAsiaTheme="minorEastAsia" w:cstheme="minorEastAsia"/>
                <w:bCs/>
                <w:color w:val="000000"/>
                <w:sz w:val="21"/>
                <w:szCs w:val="21"/>
                <w:lang w:val="en-US"/>
              </w:rPr>
              <w:t>东莞港务集团于2002月7月24日</w:t>
            </w:r>
            <w:r>
              <w:rPr>
                <w:rFonts w:hint="eastAsia" w:asciiTheme="minorEastAsia" w:hAnsiTheme="minorEastAsia" w:eastAsiaTheme="minorEastAsia" w:cstheme="minorEastAsia"/>
                <w:bCs/>
                <w:color w:val="000000"/>
                <w:sz w:val="21"/>
                <w:szCs w:val="21"/>
                <w:lang w:bidi="en-US"/>
              </w:rPr>
              <w:t>成立于中国广东省，</w:t>
            </w:r>
            <w:r>
              <w:rPr>
                <w:rFonts w:hint="eastAsia" w:asciiTheme="minorEastAsia" w:hAnsiTheme="minorEastAsia" w:eastAsiaTheme="minorEastAsia" w:cstheme="minorEastAsia"/>
                <w:bCs/>
                <w:color w:val="000000"/>
                <w:sz w:val="21"/>
                <w:szCs w:val="21"/>
                <w:lang w:val="en-US" w:bidi="en-US"/>
              </w:rPr>
              <w:t>主要负责统筹开发东莞港核心资源，主营业务包括码头、产业投资以及外经贸三大板块。</w:t>
            </w:r>
          </w:p>
          <w:p>
            <w:pPr>
              <w:adjustRightInd w:val="0"/>
              <w:snapToGrid w:val="0"/>
              <w:spacing w:after="0"/>
              <w:rPr>
                <w:rFonts w:hint="eastAsia" w:ascii="宋体" w:hAnsi="宋体" w:eastAsia="宋体" w:cs="宋体"/>
                <w:sz w:val="21"/>
                <w:szCs w:val="21"/>
                <w:lang w:val="en-US" w:eastAsia="zh-CN"/>
              </w:rPr>
            </w:pPr>
            <w:r>
              <w:rPr>
                <w:rFonts w:hint="eastAsia" w:asciiTheme="minorEastAsia" w:hAnsiTheme="minorEastAsia" w:eastAsiaTheme="minorEastAsia" w:cstheme="minorEastAsia"/>
                <w:bCs/>
                <w:color w:val="000000"/>
                <w:sz w:val="21"/>
                <w:szCs w:val="21"/>
                <w:lang w:val="en-US"/>
              </w:rPr>
              <w:t>东莞港务集团为东莞市人民政府国有资产监督管理委员会下属企业</w:t>
            </w:r>
            <w:r>
              <w:rPr>
                <w:rFonts w:hint="eastAsia" w:asciiTheme="minorEastAsia" w:hAnsiTheme="minorEastAsia" w:eastAsiaTheme="minorEastAsia" w:cstheme="minor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pStyle w:val="2"/>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eastAsia="zh-CN"/>
              </w:rPr>
              <w:t>简易案件理由（可以单选，也可以多选）</w:t>
            </w:r>
          </w:p>
        </w:tc>
        <w:tc>
          <w:tcPr>
            <w:tcW w:w="7700" w:type="dxa"/>
            <w:gridSpan w:val="2"/>
            <w:noWrap w:val="0"/>
            <w:vAlign w:val="center"/>
          </w:tcPr>
          <w:p>
            <w:pPr>
              <w:pStyle w:val="2"/>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eastAsia="zh-CN"/>
              </w:rPr>
              <w:sym w:font="Wingdings" w:char="00A8"/>
            </w:r>
            <w:r>
              <w:rPr>
                <w:rFonts w:hint="eastAsia" w:asciiTheme="minorEastAsia" w:hAnsiTheme="minorEastAsia" w:eastAsiaTheme="minorEastAsia" w:cstheme="minorEastAsia"/>
                <w:bCs/>
                <w:color w:val="000000"/>
                <w:sz w:val="21"/>
                <w:szCs w:val="21"/>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pStyle w:val="2"/>
              <w:adjustRightInd w:val="0"/>
              <w:snapToGrid w:val="0"/>
              <w:spacing w:after="0"/>
              <w:rPr>
                <w:rFonts w:hint="eastAsia" w:ascii="宋体" w:hAnsi="宋体" w:eastAsia="宋体" w:cs="宋体"/>
                <w:sz w:val="21"/>
                <w:szCs w:val="21"/>
                <w:lang w:val="en-US"/>
              </w:rPr>
            </w:pPr>
          </w:p>
        </w:tc>
        <w:tc>
          <w:tcPr>
            <w:tcW w:w="7700" w:type="dxa"/>
            <w:gridSpan w:val="2"/>
            <w:noWrap w:val="0"/>
            <w:vAlign w:val="center"/>
          </w:tcPr>
          <w:p>
            <w:pPr>
              <w:pStyle w:val="2"/>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eastAsia="zh-CN"/>
              </w:rPr>
              <w:sym w:font="Wingdings" w:char="00A8"/>
            </w:r>
            <w:r>
              <w:rPr>
                <w:rFonts w:hint="eastAsia" w:asciiTheme="minorEastAsia" w:hAnsiTheme="minorEastAsia" w:eastAsiaTheme="minorEastAsia" w:cstheme="minorEastAsia"/>
                <w:bCs/>
                <w:color w:val="000000"/>
                <w:sz w:val="21"/>
                <w:szCs w:val="21"/>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pStyle w:val="2"/>
              <w:adjustRightInd w:val="0"/>
              <w:snapToGrid w:val="0"/>
              <w:spacing w:after="0"/>
              <w:rPr>
                <w:rFonts w:hint="eastAsia" w:ascii="宋体" w:hAnsi="宋体" w:eastAsia="宋体" w:cs="宋体"/>
                <w:sz w:val="21"/>
                <w:szCs w:val="21"/>
                <w:lang w:val="en-US"/>
              </w:rPr>
            </w:pPr>
          </w:p>
        </w:tc>
        <w:tc>
          <w:tcPr>
            <w:tcW w:w="7700" w:type="dxa"/>
            <w:gridSpan w:val="2"/>
            <w:noWrap w:val="0"/>
            <w:vAlign w:val="center"/>
          </w:tcPr>
          <w:p>
            <w:pPr>
              <w:pStyle w:val="2"/>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eastAsia="zh-CN"/>
              </w:rPr>
              <w:sym w:font="Wingdings" w:char="00FE"/>
            </w:r>
            <w:r>
              <w:rPr>
                <w:rFonts w:hint="eastAsia" w:asciiTheme="minorEastAsia" w:hAnsiTheme="minorEastAsia" w:eastAsiaTheme="minorEastAsia" w:cstheme="minorEastAsia"/>
                <w:bCs/>
                <w:color w:val="000000"/>
                <w:sz w:val="21"/>
                <w:szCs w:val="21"/>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pStyle w:val="2"/>
              <w:adjustRightInd w:val="0"/>
              <w:snapToGrid w:val="0"/>
              <w:spacing w:after="0"/>
              <w:rPr>
                <w:rFonts w:hint="eastAsia" w:ascii="宋体" w:hAnsi="宋体" w:eastAsia="宋体" w:cs="宋体"/>
                <w:sz w:val="21"/>
                <w:szCs w:val="21"/>
                <w:lang w:val="en-US"/>
              </w:rPr>
            </w:pPr>
          </w:p>
        </w:tc>
        <w:tc>
          <w:tcPr>
            <w:tcW w:w="7700" w:type="dxa"/>
            <w:gridSpan w:val="2"/>
            <w:noWrap w:val="0"/>
            <w:vAlign w:val="center"/>
          </w:tcPr>
          <w:p>
            <w:pPr>
              <w:pStyle w:val="2"/>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eastAsia="zh-CN"/>
              </w:rPr>
              <w:sym w:font="Wingdings" w:char="00A8"/>
            </w:r>
            <w:r>
              <w:rPr>
                <w:rFonts w:hint="eastAsia" w:asciiTheme="minorEastAsia" w:hAnsiTheme="minorEastAsia" w:eastAsiaTheme="minorEastAsia" w:cstheme="minorEastAsia"/>
                <w:bCs/>
                <w:color w:val="000000"/>
                <w:sz w:val="21"/>
                <w:szCs w:val="21"/>
                <w:lang w:eastAsia="zh-CN"/>
              </w:rPr>
              <w:t xml:space="preserve"> 4、参与集中的经营者在中国境外设立合营企业，合营企业不在中国境内从事经济活动。</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pStyle w:val="2"/>
              <w:adjustRightInd w:val="0"/>
              <w:snapToGrid w:val="0"/>
              <w:spacing w:after="0"/>
              <w:rPr>
                <w:rFonts w:hint="eastAsia" w:ascii="宋体" w:hAnsi="宋体" w:eastAsia="宋体" w:cs="宋体"/>
                <w:sz w:val="21"/>
                <w:szCs w:val="21"/>
                <w:lang w:val="en-US"/>
              </w:rPr>
            </w:pPr>
          </w:p>
        </w:tc>
        <w:tc>
          <w:tcPr>
            <w:tcW w:w="7700" w:type="dxa"/>
            <w:gridSpan w:val="2"/>
            <w:noWrap w:val="0"/>
            <w:vAlign w:val="center"/>
          </w:tcPr>
          <w:p>
            <w:pPr>
              <w:pStyle w:val="2"/>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eastAsia="zh-CN"/>
              </w:rPr>
              <w:sym w:font="Wingdings" w:char="00A8"/>
            </w:r>
            <w:r>
              <w:rPr>
                <w:rFonts w:hint="eastAsia" w:asciiTheme="minorEastAsia" w:hAnsiTheme="minorEastAsia" w:eastAsiaTheme="minorEastAsia" w:cstheme="minorEastAsia"/>
                <w:bCs/>
                <w:color w:val="000000"/>
                <w:sz w:val="21"/>
                <w:szCs w:val="21"/>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pStyle w:val="2"/>
              <w:adjustRightInd w:val="0"/>
              <w:snapToGrid w:val="0"/>
              <w:spacing w:after="0"/>
              <w:rPr>
                <w:rFonts w:hint="eastAsia" w:ascii="宋体" w:hAnsi="宋体" w:eastAsia="宋体" w:cs="宋体"/>
                <w:sz w:val="21"/>
                <w:szCs w:val="21"/>
                <w:lang w:val="en-US"/>
              </w:rPr>
            </w:pPr>
          </w:p>
        </w:tc>
        <w:tc>
          <w:tcPr>
            <w:tcW w:w="7700" w:type="dxa"/>
            <w:gridSpan w:val="2"/>
            <w:noWrap w:val="0"/>
            <w:vAlign w:val="center"/>
          </w:tcPr>
          <w:p>
            <w:pPr>
              <w:pStyle w:val="2"/>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eastAsia="zh-CN"/>
              </w:rPr>
              <w:sym w:font="Wingdings" w:char="00A8"/>
            </w:r>
            <w:r>
              <w:rPr>
                <w:rFonts w:hint="eastAsia" w:asciiTheme="minorEastAsia" w:hAnsiTheme="minorEastAsia" w:eastAsiaTheme="minorEastAsia" w:cstheme="minorEastAsia"/>
                <w:bCs/>
                <w:color w:val="000000"/>
                <w:sz w:val="21"/>
                <w:szCs w:val="21"/>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50" w:hRule="atLeast"/>
        </w:trPr>
        <w:tc>
          <w:tcPr>
            <w:tcW w:w="1940" w:type="dxa"/>
            <w:shd w:val="clear" w:color="auto" w:fill="D9D9D9"/>
            <w:noWrap w:val="0"/>
            <w:vAlign w:val="center"/>
          </w:tcPr>
          <w:p>
            <w:pPr>
              <w:pStyle w:val="2"/>
              <w:adjustRightInd w:val="0"/>
              <w:snapToGrid w:val="0"/>
              <w:spacing w:after="0"/>
              <w:rPr>
                <w:rFonts w:hint="eastAsia" w:ascii="宋体" w:hAnsi="宋体" w:eastAsia="宋体" w:cs="宋体"/>
                <w:sz w:val="21"/>
                <w:szCs w:val="21"/>
                <w:lang w:val="en-US"/>
              </w:rPr>
            </w:pPr>
            <w:r>
              <w:rPr>
                <w:rFonts w:hint="eastAsia" w:asciiTheme="minorEastAsia" w:hAnsiTheme="minorEastAsia" w:eastAsiaTheme="minorEastAsia" w:cstheme="minorEastAsia"/>
                <w:bCs/>
                <w:color w:val="000000"/>
                <w:sz w:val="21"/>
                <w:szCs w:val="21"/>
                <w:lang w:val="en-US" w:eastAsia="zh-CN"/>
              </w:rPr>
              <w:t>备注</w:t>
            </w:r>
          </w:p>
        </w:tc>
        <w:tc>
          <w:tcPr>
            <w:tcW w:w="7700" w:type="dxa"/>
            <w:gridSpan w:val="2"/>
            <w:noWrap w:val="0"/>
            <w:vAlign w:val="center"/>
          </w:tcPr>
          <w:p>
            <w:pPr>
              <w:pStyle w:val="2"/>
              <w:adjustRightInd w:val="0"/>
              <w:snapToGrid w:val="0"/>
              <w:spacing w:after="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sz w:val="21"/>
                <w:szCs w:val="21"/>
                <w:lang w:eastAsia="zh-CN"/>
              </w:rPr>
              <w:t>混合集中：</w:t>
            </w:r>
          </w:p>
          <w:p>
            <w:pPr>
              <w:pStyle w:val="2"/>
              <w:adjustRightInd w:val="0"/>
              <w:snapToGrid w:val="0"/>
              <w:spacing w:after="0"/>
              <w:rPr>
                <w:rFonts w:hint="eastAsia" w:asciiTheme="minorEastAsia" w:hAnsiTheme="minorEastAsia" w:eastAsiaTheme="minorEastAsia" w:cstheme="minorEastAsia"/>
                <w:b/>
                <w:bCs/>
                <w:color w:val="000000"/>
                <w:sz w:val="21"/>
                <w:szCs w:val="21"/>
                <w:lang w:val="en-US" w:eastAsia="zh-CN"/>
              </w:rPr>
            </w:pPr>
            <w:r>
              <w:rPr>
                <w:rFonts w:hint="eastAsia" w:asciiTheme="minorEastAsia" w:hAnsiTheme="minorEastAsia" w:eastAsiaTheme="minorEastAsia" w:cstheme="minorEastAsia"/>
                <w:b/>
                <w:bCs/>
                <w:color w:val="000000"/>
                <w:sz w:val="21"/>
                <w:szCs w:val="21"/>
                <w:lang w:val="en-US" w:eastAsia="zh-CN"/>
              </w:rPr>
              <w:t>2022年粤港澳大湾区集装箱码头服务市场:</w:t>
            </w:r>
          </w:p>
          <w:p>
            <w:pPr>
              <w:pStyle w:val="2"/>
              <w:adjustRightInd w:val="0"/>
              <w:snapToGrid w:val="0"/>
              <w:spacing w:after="0"/>
              <w:rPr>
                <w:rFonts w:hint="eastAsia" w:ascii="宋体" w:hAnsi="宋体" w:eastAsia="宋体" w:cs="宋体"/>
                <w:sz w:val="21"/>
                <w:szCs w:val="21"/>
                <w:lang w:val="en-US" w:eastAsia="zh-CN"/>
              </w:rPr>
            </w:pPr>
            <w:r>
              <w:rPr>
                <w:rFonts w:hint="eastAsia" w:asciiTheme="minorEastAsia" w:hAnsiTheme="minorEastAsia" w:eastAsiaTheme="minorEastAsia" w:cstheme="minorEastAsia"/>
                <w:bCs/>
                <w:color w:val="000000"/>
                <w:sz w:val="21"/>
                <w:szCs w:val="21"/>
                <w:lang w:eastAsia="zh-CN"/>
              </w:rPr>
              <w:t>东莞港务集团</w:t>
            </w:r>
            <w:r>
              <w:rPr>
                <w:rFonts w:hint="eastAsia" w:asciiTheme="minorEastAsia" w:hAnsiTheme="minorEastAsia" w:eastAsiaTheme="minorEastAsia" w:cstheme="minorEastAsia"/>
                <w:bCs/>
                <w:color w:val="000000"/>
                <w:sz w:val="21"/>
                <w:szCs w:val="21"/>
                <w:lang w:val="en-US" w:eastAsia="zh-CN"/>
              </w:rPr>
              <w:t>: 0-5%</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C855C5"/>
    <w:rsid w:val="55C855C5"/>
    <w:rsid w:val="7DC41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styleId="2">
    <w:name w:val="Body Text"/>
    <w:unhideWhenUsed/>
    <w:qFormat/>
    <w:uiPriority w:val="99"/>
    <w:pPr>
      <w:widowControl w:val="0"/>
      <w:spacing w:after="12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2023-11-28T08:53:00Z</dcterms:created>
  <dc:creator>zhangzc</dc:creator>
  <cp:lastModifiedBy>zhangzc</cp:lastModifiedBy>
  <dcterms:modified xsi:type="dcterms:W3CDTF">2023-12-01T07:07:17Z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