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黑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0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佳都科技集团股份有限公司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/>
              </w:rPr>
              <w:t>与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交控科技股份有限公司等经营者新设合营企业案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佳都科技集团股份有限公司（“佳都科技”）与交控科技股份有限公司（“交控科技”）、东莞轨道资源综合开发有限公司（“东莞轨道资源”）签署协议，拟共同新设一家合营企业，主要从事城市轨道交通通信系统、综合监控系统、自动售检票系统、屏蔽门系统、信号系统等业务。交易后，佳都科技与交控科技、东莞轨道资源将分别持有合营企业40%、30%、30%的股权，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-SA"/>
              </w:rPr>
              <w:t>1.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 w:bidi="ar-SA"/>
              </w:rPr>
              <w:t>佳都科技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 w:eastAsia="zh-CN" w:bidi="ar-SA"/>
              </w:rPr>
              <w:t>佳都科技于2001年9月30日成立于广东省，为上海交易所上市公司，主要从事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城市轨道交通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 w:eastAsia="zh-CN" w:bidi="ar-SA"/>
              </w:rPr>
              <w:t>通信系统、综合监控系统、自动售检票系统、屏蔽门系统等业务。</w:t>
            </w:r>
          </w:p>
          <w:p>
            <w:pPr>
              <w:adjustRightInd w:val="0"/>
              <w:snapToGrid w:val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 w:eastAsia="zh-CN" w:bidi="ar-SA"/>
              </w:rPr>
              <w:t>佳都科技最终控制人为自然人，主要从事人工智能软件和算法提供业务。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2.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交控科技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交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控科技于2009年12月4日成立于北京市，为上海交易所上市公司，主要从事城市轨道交通信号系统的研发、关键设备的研制、系统集成以及信号系统总承包、维保维护服务等业务。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交控科技无最终控制人。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val="en-US" w:eastAsia="zh-CN"/>
              </w:rPr>
              <w:t>3.东莞轨道资源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default" w:ascii="Times New Roman" w:hAnsi="Times New Roman" w:cs="Times New Roman" w:eastAsiaTheme="minorEastAsia"/>
                <w:b w:val="0"/>
                <w:bCs/>
                <w:color w:val="000000"/>
                <w:sz w:val="22"/>
                <w:szCs w:val="22"/>
                <w:lang w:val="en-US" w:eastAsia="zh-CN" w:bidi="ar-AE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/>
                <w:color w:val="000000"/>
                <w:sz w:val="22"/>
                <w:szCs w:val="22"/>
                <w:lang w:val="en-US" w:eastAsia="zh-CN"/>
              </w:rPr>
              <w:t>东莞轨道资源于2023年10月12日成立于广东省，主要从事城市轨道交通运营服务等业务。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/>
                <w:color w:val="000000"/>
                <w:sz w:val="22"/>
                <w:szCs w:val="22"/>
                <w:lang w:val="en-US" w:eastAsia="zh-CN" w:bidi="ar-AE"/>
              </w:rPr>
              <w:t>东莞轨道资源的最终控制人为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</w:rPr>
              <w:t>东莞金融控股集团有限公司</w:t>
            </w:r>
            <w:r>
              <w:rPr>
                <w:rFonts w:hint="default" w:ascii="Times New Roman" w:hAnsi="Times New Roman" w:cs="Times New Roman" w:eastAsiaTheme="minorEastAsia"/>
                <w:b w:val="0"/>
                <w:bCs/>
                <w:color w:val="000000"/>
                <w:sz w:val="22"/>
                <w:szCs w:val="22"/>
                <w:lang w:val="en-US" w:eastAsia="zh-CN" w:bidi="ar-AE"/>
              </w:rPr>
              <w:t>，主要从事信托、私募基金、资产管理、电力工程、战略投资等业务。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cs="Times New Roman"/>
                <w:b/>
                <w:color w:val="000000"/>
                <w:sz w:val="22"/>
                <w:szCs w:val="22"/>
                <w:lang w:eastAsia="zh-CN"/>
              </w:rPr>
              <w:t>纵向关联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22"/>
                <w:szCs w:val="22"/>
              </w:rPr>
              <w:t>：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65"/>
              <w:gridCol w:w="1940"/>
              <w:gridCol w:w="320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65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left"/>
                    <w:textAlignment w:val="auto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相关商品市场</w:t>
                  </w:r>
                </w:p>
              </w:tc>
              <w:tc>
                <w:tcPr>
                  <w:tcW w:w="1940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left"/>
                    <w:textAlignment w:val="auto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相关地域市场</w:t>
                  </w:r>
                </w:p>
              </w:tc>
              <w:tc>
                <w:tcPr>
                  <w:tcW w:w="3200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left"/>
                    <w:textAlignment w:val="auto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2023年市场份额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65" w:type="dxa"/>
                  <w:noWrap w:val="0"/>
                  <w:vAlign w:val="top"/>
                </w:tcPr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上游：城市轨道交通通信系统市场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下游：城市轨道交通运营服务市场</w:t>
                  </w:r>
                </w:p>
              </w:tc>
              <w:tc>
                <w:tcPr>
                  <w:tcW w:w="1940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left"/>
                    <w:textAlignment w:val="auto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上游：中国境内</w:t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left"/>
                    <w:textAlignment w:val="auto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下游：中国境内</w:t>
                  </w:r>
                </w:p>
              </w:tc>
              <w:tc>
                <w:tcPr>
                  <w:tcW w:w="3200" w:type="dxa"/>
                  <w:noWrap w:val="0"/>
                  <w:vAlign w:val="top"/>
                </w:tcPr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上游：</w:t>
                  </w:r>
                  <w:r>
                    <w:rPr>
                      <w:rFonts w:hint="eastAsia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中国境内</w:t>
                  </w: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城市轨道交通通信系统市场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佳都科技：0-5%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下游：</w:t>
                  </w:r>
                  <w:r>
                    <w:rPr>
                      <w:rFonts w:hint="eastAsia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中国境内</w:t>
                  </w: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城市轨道交通运营服务市场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东莞轨道资源：0-5%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65" w:type="dxa"/>
                  <w:noWrap w:val="0"/>
                  <w:vAlign w:val="top"/>
                </w:tcPr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上游：城市轨道交通综合监控系统市场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下游：城市轨道交通运营服务市场</w:t>
                  </w:r>
                </w:p>
              </w:tc>
              <w:tc>
                <w:tcPr>
                  <w:tcW w:w="1940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left"/>
                    <w:textAlignment w:val="auto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上游：中国境内</w:t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ind w:left="0" w:leftChars="0" w:firstLine="0" w:firstLineChars="0"/>
                    <w:jc w:val="left"/>
                    <w:textAlignment w:val="auto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下游：中国境内</w:t>
                  </w:r>
                </w:p>
              </w:tc>
              <w:tc>
                <w:tcPr>
                  <w:tcW w:w="3200" w:type="dxa"/>
                  <w:noWrap w:val="0"/>
                  <w:vAlign w:val="top"/>
                </w:tcPr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上游：</w:t>
                  </w:r>
                  <w:r>
                    <w:rPr>
                      <w:rFonts w:hint="eastAsia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中国境内</w:t>
                  </w: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城市轨道交通综合监控系统市场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佳都科技：5%-10%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下游：</w:t>
                  </w:r>
                  <w:r>
                    <w:rPr>
                      <w:rFonts w:hint="eastAsia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中国境内</w:t>
                  </w: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城市轨道交通运营服务市场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东莞轨道资源：如上所述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165" w:type="dxa"/>
                  <w:noWrap w:val="0"/>
                  <w:vAlign w:val="top"/>
                </w:tcPr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上游：城市轨道交通自动售检票系统市场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下游：城市轨道交通运营服务市场</w:t>
                  </w:r>
                </w:p>
              </w:tc>
              <w:tc>
                <w:tcPr>
                  <w:tcW w:w="1940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left"/>
                    <w:textAlignment w:val="auto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上游：中国境内</w:t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ind w:left="0" w:leftChars="0" w:firstLine="0" w:firstLineChars="0"/>
                    <w:jc w:val="left"/>
                    <w:textAlignment w:val="auto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下游：中国境内</w:t>
                  </w:r>
                </w:p>
              </w:tc>
              <w:tc>
                <w:tcPr>
                  <w:tcW w:w="3200" w:type="dxa"/>
                  <w:noWrap w:val="0"/>
                  <w:vAlign w:val="top"/>
                </w:tcPr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上游：</w:t>
                  </w:r>
                  <w:r>
                    <w:rPr>
                      <w:rFonts w:hint="eastAsia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中国境内</w:t>
                  </w: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城市轨道交通自动售检票系统市场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佳都科技：0-5%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下游：</w:t>
                  </w:r>
                  <w:r>
                    <w:rPr>
                      <w:rFonts w:hint="eastAsia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中国境内</w:t>
                  </w: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城市轨道交通运营服务市场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东莞轨道资源：如上所述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65" w:type="dxa"/>
                  <w:noWrap w:val="0"/>
                  <w:vAlign w:val="top"/>
                </w:tcPr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上游：城市轨道交通屏蔽门系统市场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下游：城市轨道交通运营服务市场</w:t>
                  </w:r>
                </w:p>
              </w:tc>
              <w:tc>
                <w:tcPr>
                  <w:tcW w:w="1940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left"/>
                    <w:textAlignment w:val="auto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上游：中国境内</w:t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ind w:left="0" w:leftChars="0" w:firstLine="0" w:firstLineChars="0"/>
                    <w:jc w:val="left"/>
                    <w:textAlignment w:val="auto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下游：中国境内</w:t>
                  </w:r>
                </w:p>
              </w:tc>
              <w:tc>
                <w:tcPr>
                  <w:tcW w:w="3200" w:type="dxa"/>
                  <w:noWrap w:val="0"/>
                  <w:vAlign w:val="top"/>
                </w:tcPr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上游：</w:t>
                  </w:r>
                  <w:r>
                    <w:rPr>
                      <w:rFonts w:hint="eastAsia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中国境内</w:t>
                  </w: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城市轨道交通屏蔽门系统市场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佳都科技：0-5%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下游：</w:t>
                  </w:r>
                  <w:r>
                    <w:rPr>
                      <w:rFonts w:hint="eastAsia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中国境内</w:t>
                  </w: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城市轨道交通运营服务市场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东莞轨道资源：如上所述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65" w:type="dxa"/>
                  <w:noWrap w:val="0"/>
                  <w:vAlign w:val="top"/>
                </w:tcPr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上游：城市轨道交通信号系统市场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下游：城市轨道交通运营服务市场</w:t>
                  </w:r>
                </w:p>
              </w:tc>
              <w:tc>
                <w:tcPr>
                  <w:tcW w:w="1940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left"/>
                    <w:textAlignment w:val="auto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上游：中国境内</w:t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ind w:left="0" w:leftChars="0" w:firstLine="0" w:firstLineChars="0"/>
                    <w:jc w:val="left"/>
                    <w:textAlignment w:val="auto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下游：中国境内</w:t>
                  </w:r>
                </w:p>
              </w:tc>
              <w:tc>
                <w:tcPr>
                  <w:tcW w:w="3200" w:type="dxa"/>
                  <w:noWrap w:val="0"/>
                  <w:vAlign w:val="top"/>
                </w:tcPr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上游：</w:t>
                  </w:r>
                  <w:r>
                    <w:rPr>
                      <w:rFonts w:hint="eastAsia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中国境内</w:t>
                  </w: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城市轨道交通信号系统市场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交控科技：10%-15%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下游：</w:t>
                  </w:r>
                  <w:r>
                    <w:rPr>
                      <w:rFonts w:hint="eastAsia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中国境内</w:t>
                  </w: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城市轨道交通运营服务市场</w:t>
                  </w:r>
                </w:p>
                <w:p>
                  <w:pPr>
                    <w:adjustRightInd w:val="0"/>
                    <w:snapToGrid w:val="0"/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 w:val="0"/>
                      <w:bCs/>
                      <w:color w:val="000000"/>
                      <w:kern w:val="2"/>
                      <w:sz w:val="22"/>
                      <w:szCs w:val="22"/>
                      <w:lang w:val="en-US" w:eastAsia="zh-CN" w:bidi="ar-SA"/>
                    </w:rPr>
                    <w:t>东莞轨道资源：如上所述</w:t>
                  </w:r>
                </w:p>
              </w:tc>
            </w:tr>
          </w:tbl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ECF569F"/>
    <w:rsid w:val="2F0902B7"/>
    <w:rsid w:val="3025112D"/>
    <w:rsid w:val="319E78FD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E606197"/>
    <w:rsid w:val="5E758AD3"/>
    <w:rsid w:val="5F5B3889"/>
    <w:rsid w:val="5F7404E1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786ABC"/>
    <w:rsid w:val="6FDF5799"/>
    <w:rsid w:val="710A7485"/>
    <w:rsid w:val="71394751"/>
    <w:rsid w:val="72131803"/>
    <w:rsid w:val="723024E6"/>
    <w:rsid w:val="73026B48"/>
    <w:rsid w:val="74566BED"/>
    <w:rsid w:val="74CE550B"/>
    <w:rsid w:val="767FE0B3"/>
    <w:rsid w:val="76CA40F3"/>
    <w:rsid w:val="77527FDF"/>
    <w:rsid w:val="77FFCFC3"/>
    <w:rsid w:val="78410251"/>
    <w:rsid w:val="793FB7A1"/>
    <w:rsid w:val="7A9C06E1"/>
    <w:rsid w:val="7AB91678"/>
    <w:rsid w:val="7B8F578C"/>
    <w:rsid w:val="7B9A66EF"/>
    <w:rsid w:val="7BE411F0"/>
    <w:rsid w:val="7BFFD823"/>
    <w:rsid w:val="7C7918BC"/>
    <w:rsid w:val="7E7DF0B9"/>
    <w:rsid w:val="7EE72273"/>
    <w:rsid w:val="7EF7CDD2"/>
    <w:rsid w:val="7F7BEB9D"/>
    <w:rsid w:val="7FBF2495"/>
    <w:rsid w:val="7FDCAB43"/>
    <w:rsid w:val="7FE91E78"/>
    <w:rsid w:val="7FFDE69B"/>
    <w:rsid w:val="9CBD0B1A"/>
    <w:rsid w:val="A7F9C1DE"/>
    <w:rsid w:val="B593FB7D"/>
    <w:rsid w:val="BCB7048F"/>
    <w:rsid w:val="BF8E36EE"/>
    <w:rsid w:val="BFDFB85E"/>
    <w:rsid w:val="BFF739EC"/>
    <w:rsid w:val="DDEFBA43"/>
    <w:rsid w:val="DEAFB90F"/>
    <w:rsid w:val="DF21B821"/>
    <w:rsid w:val="DFD76A11"/>
    <w:rsid w:val="E9F71F09"/>
    <w:rsid w:val="EAFD8D58"/>
    <w:rsid w:val="EB6C770B"/>
    <w:rsid w:val="EBCD181E"/>
    <w:rsid w:val="EFFFDD70"/>
    <w:rsid w:val="F1B778F1"/>
    <w:rsid w:val="F3FF743F"/>
    <w:rsid w:val="F4FF55F7"/>
    <w:rsid w:val="F7FD911C"/>
    <w:rsid w:val="F9DF2CA6"/>
    <w:rsid w:val="FB3326CC"/>
    <w:rsid w:val="FBCE4D19"/>
    <w:rsid w:val="FDBF10AA"/>
    <w:rsid w:val="FFBC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8"/>
    <w:unhideWhenUsed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4">
    <w:name w:val="名称2"/>
    <w:basedOn w:val="15"/>
    <w:qFormat/>
    <w:uiPriority w:val="0"/>
    <w:pPr>
      <w:spacing w:after="312" w:afterLines="100"/>
    </w:pPr>
    <w:rPr>
      <w:b w:val="0"/>
      <w:sz w:val="20"/>
    </w:rPr>
  </w:style>
  <w:style w:type="paragraph" w:customStyle="1" w:styleId="1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6">
    <w:name w:val="页眉 字符"/>
    <w:basedOn w:val="12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2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2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7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5</Pages>
  <Words>1707</Words>
  <Characters>1813</Characters>
  <Lines>9</Lines>
  <Paragraphs>2</Paragraphs>
  <TotalTime>218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2023-02-23T01:34:00Z</dcterms:created>
  <dc:creator>张斌（反垄断处）</dc:creator>
  <cp:lastModifiedBy>scj</cp:lastModifiedBy>
  <cp:lastPrinted>2024-04-01T17:34:00Z</cp:lastPrinted>
  <dcterms:modified xsi:type="dcterms:W3CDTF">2024-07-19T17:16:56Z</dcterms:modified>
  <dc:title>关于经营者集中反垄断审查案件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