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SA"/>
              </w:rPr>
              <w:t>招商局资本投资有限责任公司收购Regional Link电信服务控股有限公司股权案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</w:pPr>
          </w:p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 w:cs="Times New Roman" w:eastAsiaTheme="minorEastAsia"/>
                <w:b w:val="0"/>
                <w:bCs/>
                <w:kern w:val="2"/>
                <w:sz w:val="22"/>
                <w:szCs w:val="22"/>
                <w:lang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招商局资本投资有限责任公司（“招商资本”）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电讯盈科有限公司（“电讯盈科”）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达成协议，拟收购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Regional Link电信服务控股有限公司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（“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Regional Link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”）40%的股权。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Regional Link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主要从事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</w:rPr>
              <w:t>香港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固定网络接入服务等业务。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交易前，电讯盈科全资持有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eastAsia="zh-CN" w:bidi="ar-SA"/>
              </w:rPr>
              <w:t>并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单独控制Regional Link。交易后，电讯盈科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eastAsia="zh-CN" w:bidi="ar-SA"/>
              </w:rPr>
              <w:t>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招商资本分别持有Regional Link60%和40%的股权，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eastAsia="zh-CN" w:bidi="ar-SA"/>
              </w:rPr>
              <w:t>二者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2"/>
                <w:sz w:val="22"/>
                <w:szCs w:val="22"/>
                <w:lang w:bidi="ar-SA"/>
              </w:rPr>
              <w:t>共同控制Regional Link。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bidi="ar-SA"/>
              </w:rPr>
              <w:t>1.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 w:bidi="ar-SA"/>
              </w:rPr>
              <w:t>招商资本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招商资本于2012年1月10日成立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于广东省，主要从事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交通运输、物流、专业金融和房地产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领域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资产管理业务。</w:t>
            </w:r>
          </w:p>
          <w:p>
            <w:pPr>
              <w:adjustRightInd w:val="0"/>
              <w:snapToGrid w:val="0"/>
              <w:jc w:val="left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招商资本的最终控制人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为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招商局集团有限公司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（“招商集团”）与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普洛斯有限公司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（“普洛斯”）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。招商集团主要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从事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综合交通、城市与园区综合开发运营和特色金融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等领域业务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。普洛斯主要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从事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中国、日本、欧洲、巴西、印度和美国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等地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物流仓储设施的开发和运营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eastAsia="zh-CN" w:bidi="ar-AE"/>
              </w:rPr>
              <w:t>业务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8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电讯盈科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eastAsia="zh-CN" w:bidi="ar-SA"/>
              </w:rPr>
              <w:t>电讯盈科于</w:t>
            </w: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val="en-US" w:eastAsia="zh-CN" w:bidi="ar-SA"/>
              </w:rPr>
              <w:t>1979年4月24日成立于香港，</w:t>
            </w:r>
            <w:r>
              <w:rPr>
                <w:rFonts w:hint="eastAsia" w:cs="Times New Roman" w:eastAsiaTheme="minorEastAsia"/>
                <w:bCs/>
                <w:kern w:val="2"/>
                <w:sz w:val="22"/>
                <w:szCs w:val="22"/>
                <w:lang w:val="en-US" w:eastAsia="zh-CN" w:bidi="ar-SA"/>
              </w:rPr>
              <w:t>为香港证券交易所上市公司，</w:t>
            </w: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val="en-US" w:eastAsia="zh-CN" w:bidi="ar-SA"/>
              </w:rPr>
              <w:t>主要从事电信、媒体、信息技术解决方案、房地产开发与投资及其他业务。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</w:pPr>
            <w:r>
              <w:rPr>
                <w:rFonts w:hint="default" w:ascii="Times New Roman" w:hAnsi="Times New Roman" w:cs="Times New Roman" w:eastAsiaTheme="minorEastAsia"/>
                <w:bCs/>
                <w:kern w:val="2"/>
                <w:sz w:val="22"/>
                <w:szCs w:val="22"/>
                <w:lang w:bidi="ar-SA"/>
              </w:rPr>
              <w:t>电讯盈科无最终控制人。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2"/>
                <w:szCs w:val="22"/>
                <w:lang w:eastAsia="zh-CN"/>
              </w:rPr>
            </w:pP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/>
              </w:rPr>
              <w:t>不适用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F6A8C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7BEB9D"/>
    <w:rsid w:val="7FBF2495"/>
    <w:rsid w:val="7FDCAB43"/>
    <w:rsid w:val="7FE15510"/>
    <w:rsid w:val="7FE91E78"/>
    <w:rsid w:val="7FFDE69B"/>
    <w:rsid w:val="9CBD0B1A"/>
    <w:rsid w:val="9E7FCD16"/>
    <w:rsid w:val="A7F9C1DE"/>
    <w:rsid w:val="A9AD231D"/>
    <w:rsid w:val="ADFAC79E"/>
    <w:rsid w:val="AE7E1E17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5FDAC1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DBF10AA"/>
    <w:rsid w:val="FE5FA0A2"/>
    <w:rsid w:val="FF57FBD6"/>
    <w:rsid w:val="FFB70466"/>
    <w:rsid w:val="FFBC3961"/>
    <w:rsid w:val="FFCF003E"/>
    <w:rsid w:val="FFEE6CF6"/>
    <w:rsid w:val="FFFF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29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2023-02-25T17:34:00Z</dcterms:created>
  <dc:creator>张斌（反垄断处）</dc:creator>
  <cp:lastModifiedBy>scj</cp:lastModifiedBy>
  <cp:lastPrinted>2024-07-31T01:27:00Z</cp:lastPrinted>
  <dcterms:modified xsi:type="dcterms:W3CDTF">2024-08-02T16:54:30Z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