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bookmarkStart w:id="0" w:name="_GoBack"/>
      <w:bookmarkEnd w:id="0"/>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案件名称</w:t>
            </w:r>
          </w:p>
        </w:tc>
        <w:tc>
          <w:tcPr>
            <w:tcW w:w="7700" w:type="dxa"/>
            <w:gridSpan w:val="2"/>
            <w:shd w:val="clear" w:color="auto" w:fill="auto"/>
            <w:vAlign w:val="center"/>
          </w:tcPr>
          <w:p>
            <w:pPr>
              <w:adjustRightInd w:val="0"/>
              <w:snapToGrid w:val="0"/>
              <w:rPr>
                <w:rFonts w:hint="default" w:ascii="Times New Roman" w:hAnsi="Times New Roman" w:cs="Times New Roman"/>
                <w:bCs/>
                <w:color w:val="000000"/>
                <w:szCs w:val="21"/>
              </w:rPr>
            </w:pPr>
            <w:r>
              <w:rPr>
                <w:rFonts w:hint="eastAsia" w:ascii="宋体" w:hAnsi="宋体" w:cs="宋体"/>
                <w:szCs w:val="21"/>
              </w:rPr>
              <w:t>华润置地控股有限公司与上海新连优化管理咨询有限责任公司新设合营企业案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交易概况</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（限200字内）</w:t>
            </w:r>
          </w:p>
        </w:tc>
        <w:tc>
          <w:tcPr>
            <w:tcW w:w="7700" w:type="dxa"/>
            <w:gridSpan w:val="2"/>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sz w:val="22"/>
                <w:szCs w:val="22"/>
              </w:rPr>
              <w:t>华润置地控股有限公司（“华润置地”）下属全资企业润沃住房租赁（深圳）有限责任</w:t>
            </w:r>
            <w:r>
              <w:rPr>
                <w:rFonts w:hint="default" w:ascii="Times New Roman" w:hAnsi="Times New Roman" w:eastAsia="宋体"/>
                <w:bCs/>
                <w:color w:val="000000"/>
                <w:sz w:val="22"/>
                <w:szCs w:val="22"/>
              </w:rPr>
              <w:t>公司（“润沃住房”）、有巢企业咨询管理（深圳）有限公司（“有巢咨询”）与</w:t>
            </w:r>
            <w:r>
              <w:rPr>
                <w:rFonts w:hint="default" w:ascii="Times New Roman" w:hAnsi="Times New Roman" w:eastAsia="宋体" w:cs="Times New Roman"/>
                <w:bCs/>
                <w:color w:val="000000"/>
                <w:sz w:val="22"/>
                <w:szCs w:val="22"/>
              </w:rPr>
              <w:t>上海新连优化管理咨询有限责任公司</w:t>
            </w:r>
            <w:r>
              <w:rPr>
                <w:rFonts w:hint="default" w:ascii="Times New Roman" w:hAnsi="Times New Roman" w:eastAsia="宋体"/>
                <w:bCs/>
                <w:color w:val="000000"/>
                <w:sz w:val="22"/>
                <w:szCs w:val="22"/>
              </w:rPr>
              <w:t>（“上海新连”）签署《合伙协议》，约定共同新设合营企业</w:t>
            </w:r>
            <w:r>
              <w:rPr>
                <w:rFonts w:hint="eastAsia" w:eastAsia="宋体"/>
                <w:bCs/>
                <w:color w:val="000000"/>
                <w:sz w:val="22"/>
                <w:szCs w:val="22"/>
                <w:lang w:eastAsia="zh-CN"/>
              </w:rPr>
              <w:t>。</w:t>
            </w:r>
            <w:r>
              <w:rPr>
                <w:rFonts w:hint="eastAsia"/>
                <w:bCs/>
                <w:color w:val="000000"/>
                <w:sz w:val="22"/>
                <w:szCs w:val="22"/>
                <w:lang w:eastAsia="zh-CN"/>
              </w:rPr>
              <w:t>合</w:t>
            </w:r>
            <w:r>
              <w:rPr>
                <w:rFonts w:hint="eastAsia"/>
                <w:bCs/>
                <w:color w:val="000000"/>
                <w:sz w:val="22"/>
                <w:szCs w:val="22"/>
              </w:rPr>
              <w:t>营企业主要从事保障性租赁住房的开发与运营业务。</w:t>
            </w:r>
            <w:r>
              <w:rPr>
                <w:rFonts w:hint="default" w:ascii="Times New Roman" w:hAnsi="Times New Roman" w:eastAsia="宋体" w:cs="Times New Roman"/>
                <w:bCs/>
                <w:color w:val="000000"/>
                <w:sz w:val="22"/>
                <w:szCs w:val="22"/>
                <w:lang w:val="en-US" w:bidi="ar"/>
              </w:rPr>
              <w:t>交易后，</w:t>
            </w:r>
            <w:r>
              <w:rPr>
                <w:rFonts w:ascii="Times New Roman" w:hAnsi="Times New Roman" w:eastAsia="宋体" w:cs="Times New Roman"/>
                <w:bCs/>
                <w:color w:val="000000"/>
                <w:sz w:val="22"/>
                <w:szCs w:val="22"/>
                <w:lang w:bidi="ar"/>
              </w:rPr>
              <w:t>上海新连</w:t>
            </w:r>
            <w:r>
              <w:rPr>
                <w:rFonts w:hint="default" w:eastAsia="宋体" w:cs="Times New Roman"/>
                <w:bCs/>
                <w:color w:val="000000"/>
                <w:sz w:val="22"/>
                <w:szCs w:val="22"/>
                <w:lang w:eastAsia="zh-CN" w:bidi="ar"/>
              </w:rPr>
              <w:t>、润沃住房作为</w:t>
            </w:r>
            <w:r>
              <w:rPr>
                <w:rFonts w:hint="default" w:ascii="Times New Roman" w:hAnsi="Times New Roman" w:eastAsia="宋体" w:cs="Times New Roman"/>
                <w:bCs/>
                <w:color w:val="000000"/>
                <w:sz w:val="22"/>
                <w:szCs w:val="22"/>
                <w:lang w:bidi="ar"/>
              </w:rPr>
              <w:t>有限合伙人持有</w:t>
            </w:r>
            <w:r>
              <w:rPr>
                <w:rFonts w:hint="default" w:eastAsia="宋体" w:cs="Times New Roman"/>
                <w:bCs/>
                <w:color w:val="000000"/>
                <w:sz w:val="22"/>
                <w:szCs w:val="22"/>
                <w:lang w:eastAsia="zh-CN" w:bidi="ar"/>
              </w:rPr>
              <w:t>合伙企业</w:t>
            </w:r>
            <w:r>
              <w:rPr>
                <w:rFonts w:hint="default" w:ascii="Times New Roman" w:hAnsi="Times New Roman" w:eastAsia="宋体" w:cs="Times New Roman"/>
                <w:bCs/>
                <w:color w:val="000000"/>
                <w:sz w:val="22"/>
                <w:szCs w:val="22"/>
                <w:lang w:bidi="ar"/>
              </w:rPr>
              <w:t>49.98%份额</w:t>
            </w:r>
            <w:r>
              <w:rPr>
                <w:rFonts w:hint="default" w:eastAsia="宋体" w:cs="Times New Roman"/>
                <w:bCs/>
                <w:color w:val="000000"/>
                <w:sz w:val="22"/>
                <w:szCs w:val="22"/>
                <w:lang w:eastAsia="zh-CN" w:bidi="ar"/>
              </w:rPr>
              <w:t>，</w:t>
            </w:r>
            <w:r>
              <w:rPr>
                <w:rFonts w:hint="default" w:ascii="Times New Roman" w:hAnsi="Times New Roman" w:eastAsia="宋体" w:cs="Times New Roman"/>
                <w:bCs/>
                <w:color w:val="000000"/>
                <w:sz w:val="22"/>
                <w:szCs w:val="22"/>
                <w:lang w:bidi="ar"/>
              </w:rPr>
              <w:t>有巢咨询</w:t>
            </w:r>
            <w:r>
              <w:rPr>
                <w:rFonts w:hint="default" w:eastAsia="宋体" w:cs="Times New Roman"/>
                <w:bCs/>
                <w:color w:val="000000"/>
                <w:sz w:val="22"/>
                <w:szCs w:val="22"/>
                <w:lang w:eastAsia="zh-CN" w:bidi="ar"/>
              </w:rPr>
              <w:t>作</w:t>
            </w:r>
            <w:r>
              <w:rPr>
                <w:rFonts w:hint="default" w:ascii="Times New Roman" w:hAnsi="Times New Roman" w:eastAsia="宋体" w:cs="Times New Roman"/>
                <w:bCs/>
                <w:color w:val="000000"/>
                <w:sz w:val="22"/>
                <w:szCs w:val="22"/>
                <w:lang w:bidi="ar"/>
              </w:rPr>
              <w:t>为普通合伙人，持有合伙企业0.03%份额</w:t>
            </w:r>
            <w:r>
              <w:rPr>
                <w:rFonts w:hint="default" w:eastAsia="宋体" w:cs="Times New Roman"/>
                <w:bCs/>
                <w:color w:val="000000"/>
                <w:sz w:val="22"/>
                <w:szCs w:val="22"/>
                <w:lang w:eastAsia="zh-CN" w:bidi="ar"/>
              </w:rPr>
              <w:t>，</w:t>
            </w:r>
            <w:r>
              <w:rPr>
                <w:rFonts w:hint="default" w:ascii="Times New Roman" w:hAnsi="Times New Roman" w:eastAsia="宋体" w:cs="Times New Roman"/>
                <w:bCs/>
                <w:color w:val="000000"/>
                <w:sz w:val="22"/>
                <w:szCs w:val="22"/>
                <w:lang w:val="en-US" w:bidi="ar"/>
              </w:rPr>
              <w:t>上海新连</w:t>
            </w:r>
            <w:r>
              <w:rPr>
                <w:rFonts w:hint="default" w:eastAsia="宋体" w:cs="Times New Roman"/>
                <w:bCs/>
                <w:color w:val="000000"/>
                <w:sz w:val="22"/>
                <w:szCs w:val="22"/>
                <w:lang w:val="en-US" w:eastAsia="zh-CN" w:bidi="ar"/>
              </w:rPr>
              <w:t>与</w:t>
            </w:r>
            <w:r>
              <w:rPr>
                <w:rFonts w:hint="default" w:ascii="Times New Roman" w:hAnsi="Times New Roman" w:eastAsia="宋体"/>
                <w:bCs/>
                <w:color w:val="000000"/>
                <w:sz w:val="22"/>
                <w:szCs w:val="22"/>
                <w:lang w:bidi="ar"/>
              </w:rPr>
              <w:t>华润置地共同控制</w:t>
            </w:r>
            <w:r>
              <w:rPr>
                <w:rFonts w:hint="default" w:ascii="Times New Roman" w:hAnsi="Times New Roman" w:eastAsia="宋体" w:cs="Times New Roman"/>
                <w:bCs/>
                <w:color w:val="000000"/>
                <w:sz w:val="22"/>
                <w:szCs w:val="22"/>
                <w:lang w:val="en-US" w:bidi="ar"/>
              </w:rPr>
              <w:t>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参与集中的</w:t>
            </w:r>
          </w:p>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经营者简介</w:t>
            </w:r>
          </w:p>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（每个限100</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字以内）</w:t>
            </w:r>
          </w:p>
        </w:tc>
        <w:tc>
          <w:tcPr>
            <w:tcW w:w="1607" w:type="dxa"/>
            <w:vAlign w:val="center"/>
          </w:tcPr>
          <w:p>
            <w:pPr>
              <w:pStyle w:val="5"/>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eastAsia="宋体" w:cs="Times New Roman"/>
                <w:bCs/>
                <w:color w:val="000000"/>
                <w:sz w:val="22"/>
                <w:szCs w:val="22"/>
                <w:lang w:bidi="ar-SA"/>
              </w:rPr>
              <w:t>1.</w:t>
            </w:r>
            <w:r>
              <w:rPr>
                <w:rFonts w:hint="eastAsia" w:cs="Times New Roman"/>
                <w:bCs/>
                <w:color w:val="000000"/>
                <w:sz w:val="22"/>
                <w:szCs w:val="22"/>
                <w:lang w:eastAsia="zh-CN" w:bidi="ar-SA"/>
              </w:rPr>
              <w:t>华润置地</w:t>
            </w:r>
          </w:p>
        </w:tc>
        <w:tc>
          <w:tcPr>
            <w:tcW w:w="6093" w:type="dxa"/>
            <w:vAlign w:val="center"/>
          </w:tcPr>
          <w:p>
            <w:pPr>
              <w:widowControl/>
              <w:adjustRightInd w:val="0"/>
              <w:snapToGrid w:val="0"/>
              <w:spacing w:after="0"/>
              <w:jc w:val="left"/>
              <w:rPr>
                <w:rFonts w:ascii="Times New Roman" w:hAnsi="Times New Roman" w:eastAsia="宋体"/>
                <w:bCs/>
                <w:color w:val="000000"/>
                <w:kern w:val="0"/>
                <w:sz w:val="22"/>
                <w:szCs w:val="22"/>
                <w:lang w:bidi="ar-AE"/>
              </w:rPr>
            </w:pPr>
            <w:r>
              <w:rPr>
                <w:rFonts w:hint="default" w:ascii="Times New Roman" w:hAnsi="Times New Roman" w:eastAsia="宋体" w:cs="Times New Roman"/>
                <w:bCs/>
                <w:color w:val="000000"/>
                <w:kern w:val="0"/>
                <w:sz w:val="22"/>
                <w:szCs w:val="22"/>
                <w:lang w:bidi="ar-AE"/>
              </w:rPr>
              <w:t>华润置地于</w:t>
            </w:r>
            <w:r>
              <w:rPr>
                <w:rFonts w:hint="default" w:ascii="Times New Roman" w:hAnsi="Times New Roman" w:eastAsia="宋体" w:cs="Times New Roman"/>
                <w:bCs/>
                <w:color w:val="000000"/>
                <w:kern w:val="0"/>
                <w:sz w:val="22"/>
                <w:szCs w:val="22"/>
                <w:lang w:val="en-US" w:bidi="ar-AE"/>
              </w:rPr>
              <w:t>2013年1</w:t>
            </w:r>
            <w:r>
              <w:rPr>
                <w:rFonts w:hint="default" w:ascii="Times New Roman" w:hAnsi="Times New Roman" w:eastAsia="宋体" w:cs="Times New Roman"/>
                <w:bCs/>
                <w:color w:val="000000"/>
                <w:kern w:val="0"/>
                <w:sz w:val="22"/>
                <w:szCs w:val="22"/>
                <w:lang w:bidi="ar-AE"/>
              </w:rPr>
              <w:t>月</w:t>
            </w:r>
            <w:r>
              <w:rPr>
                <w:rFonts w:hint="default" w:ascii="Times New Roman" w:hAnsi="Times New Roman" w:eastAsia="宋体" w:cs="Times New Roman"/>
                <w:bCs/>
                <w:color w:val="000000"/>
                <w:kern w:val="0"/>
                <w:sz w:val="22"/>
                <w:szCs w:val="22"/>
                <w:lang w:val="en-US" w:bidi="ar-AE"/>
              </w:rPr>
              <w:t>7</w:t>
            </w:r>
            <w:r>
              <w:rPr>
                <w:rFonts w:hint="default" w:ascii="Times New Roman" w:hAnsi="Times New Roman" w:eastAsia="宋体" w:cs="Times New Roman"/>
                <w:bCs/>
                <w:color w:val="000000"/>
                <w:kern w:val="0"/>
                <w:sz w:val="22"/>
                <w:szCs w:val="22"/>
                <w:lang w:bidi="ar-AE"/>
              </w:rPr>
              <w:t>日成立于</w:t>
            </w:r>
            <w:r>
              <w:rPr>
                <w:rFonts w:hint="default" w:ascii="Times New Roman" w:hAnsi="Times New Roman" w:eastAsia="宋体" w:cs="Times New Roman"/>
                <w:bCs/>
                <w:color w:val="000000"/>
                <w:kern w:val="0"/>
                <w:sz w:val="22"/>
                <w:szCs w:val="22"/>
                <w:lang w:val="en-US" w:bidi="ar-AE"/>
              </w:rPr>
              <w:t>广东省</w:t>
            </w:r>
            <w:r>
              <w:rPr>
                <w:rFonts w:hint="default" w:ascii="Times New Roman" w:hAnsi="Times New Roman" w:eastAsia="宋体" w:cs="Times New Roman"/>
                <w:bCs/>
                <w:color w:val="000000"/>
                <w:kern w:val="0"/>
                <w:sz w:val="22"/>
                <w:szCs w:val="22"/>
                <w:lang w:bidi="ar-AE"/>
              </w:rPr>
              <w:t>，主要从事房地产开发与销售以及投资物业租赁、工程施工等业务</w:t>
            </w:r>
            <w:r>
              <w:rPr>
                <w:rFonts w:hint="default" w:ascii="Times New Roman" w:hAnsi="Times New Roman" w:eastAsia="宋体"/>
                <w:bCs/>
                <w:color w:val="000000"/>
                <w:kern w:val="0"/>
                <w:sz w:val="22"/>
                <w:szCs w:val="22"/>
                <w:lang w:bidi="ar-AE"/>
              </w:rPr>
              <w:t>。</w:t>
            </w:r>
          </w:p>
          <w:p>
            <w:pPr>
              <w:widowControl/>
              <w:adjustRightInd w:val="0"/>
              <w:snapToGrid w:val="0"/>
              <w:jc w:val="left"/>
              <w:rPr>
                <w:rFonts w:hint="default" w:ascii="Times New Roman" w:hAnsi="Times New Roman" w:eastAsia="宋体" w:cs="Times New Roman"/>
                <w:bCs/>
                <w:color w:val="000000"/>
                <w:sz w:val="22"/>
                <w:szCs w:val="22"/>
                <w:lang w:eastAsia="zh-CN"/>
              </w:rPr>
            </w:pPr>
            <w:r>
              <w:rPr>
                <w:rFonts w:hint="default" w:ascii="Times New Roman" w:hAnsi="Times New Roman" w:eastAsia="宋体" w:cs="Times New Roman"/>
                <w:bCs/>
                <w:color w:val="000000"/>
                <w:kern w:val="0"/>
                <w:sz w:val="22"/>
                <w:szCs w:val="22"/>
                <w:lang w:bidi="ar-AE"/>
              </w:rPr>
              <w:t>华润置地</w:t>
            </w:r>
            <w:r>
              <w:rPr>
                <w:rFonts w:hint="default" w:ascii="Times New Roman" w:hAnsi="Times New Roman" w:eastAsia="宋体" w:cs="Times New Roman"/>
                <w:bCs/>
                <w:color w:val="000000"/>
                <w:kern w:val="0"/>
                <w:sz w:val="22"/>
                <w:szCs w:val="22"/>
                <w:lang w:val="en-US" w:bidi="ar-AE"/>
              </w:rPr>
              <w:t>的最终控制人为</w:t>
            </w:r>
            <w:r>
              <w:rPr>
                <w:rFonts w:hint="default" w:ascii="Times New Roman" w:hAnsi="Times New Roman" w:eastAsia="宋体" w:cs="Times New Roman"/>
                <w:bCs/>
                <w:color w:val="000000"/>
                <w:kern w:val="0"/>
                <w:sz w:val="22"/>
                <w:szCs w:val="22"/>
                <w:lang w:bidi="ar-AE"/>
              </w:rPr>
              <w:t>中国华润有限公司，主要业务涉及大消费、综合能源、城市建设运营、大健康、产业金融、科技及新兴产业。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p>
        </w:tc>
        <w:tc>
          <w:tcPr>
            <w:tcW w:w="1607" w:type="dxa"/>
            <w:vAlign w:val="center"/>
          </w:tcPr>
          <w:p>
            <w:pPr>
              <w:pStyle w:val="5"/>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2.</w:t>
            </w:r>
            <w:r>
              <w:rPr>
                <w:rFonts w:hint="default" w:eastAsia="宋体" w:cs="Times New Roman"/>
                <w:bCs/>
                <w:color w:val="000000"/>
                <w:sz w:val="22"/>
                <w:szCs w:val="22"/>
                <w:lang w:eastAsia="zh-CN"/>
              </w:rPr>
              <w:t>上海新连</w:t>
            </w:r>
          </w:p>
        </w:tc>
        <w:tc>
          <w:tcPr>
            <w:tcW w:w="6093" w:type="dxa"/>
            <w:vAlign w:val="center"/>
          </w:tcPr>
          <w:p>
            <w:pPr>
              <w:widowControl/>
              <w:adjustRightInd w:val="0"/>
              <w:snapToGrid w:val="0"/>
              <w:spacing w:after="0"/>
              <w:jc w:val="left"/>
              <w:rPr>
                <w:rFonts w:ascii="Times New Roman" w:hAnsi="Times New Roman" w:eastAsia="宋体"/>
                <w:bCs/>
                <w:color w:val="000000"/>
                <w:kern w:val="0"/>
                <w:sz w:val="22"/>
                <w:szCs w:val="22"/>
                <w:lang w:bidi="ar-AE"/>
              </w:rPr>
            </w:pPr>
            <w:r>
              <w:rPr>
                <w:rFonts w:hint="default" w:ascii="Times New Roman" w:hAnsi="Times New Roman" w:eastAsia="宋体"/>
                <w:bCs/>
                <w:color w:val="000000"/>
                <w:kern w:val="0"/>
                <w:sz w:val="22"/>
                <w:szCs w:val="22"/>
                <w:lang w:bidi="ar-AE"/>
              </w:rPr>
              <w:t>上海新连</w:t>
            </w:r>
            <w:r>
              <w:rPr>
                <w:rFonts w:hint="default" w:ascii="Times New Roman" w:hAnsi="Times New Roman" w:eastAsia="宋体" w:cs="Times New Roman"/>
                <w:bCs/>
                <w:color w:val="000000"/>
                <w:kern w:val="0"/>
                <w:sz w:val="22"/>
                <w:szCs w:val="22"/>
                <w:lang w:val="en-US" w:bidi="ar-AE"/>
              </w:rPr>
              <w:t>于2024年9月10日成立于上海市，主要</w:t>
            </w:r>
            <w:r>
              <w:rPr>
                <w:rFonts w:hint="default" w:ascii="Times New Roman" w:hAnsi="Times New Roman" w:eastAsia="宋体" w:cs="Times New Roman"/>
                <w:bCs/>
                <w:color w:val="000000"/>
                <w:kern w:val="0"/>
                <w:sz w:val="22"/>
                <w:szCs w:val="22"/>
                <w:lang w:bidi="ar-AE"/>
              </w:rPr>
              <w:t>从事投资与资产管理业务。</w:t>
            </w:r>
          </w:p>
          <w:p>
            <w:pPr>
              <w:widowControl/>
              <w:adjustRightInd w:val="0"/>
              <w:snapToGrid w:val="0"/>
              <w:jc w:val="left"/>
              <w:rPr>
                <w:rFonts w:hint="default" w:ascii="Times New Roman" w:hAnsi="Times New Roman" w:eastAsia="宋体" w:cs="Times New Roman"/>
                <w:bCs/>
                <w:color w:val="000000"/>
                <w:kern w:val="2"/>
                <w:sz w:val="22"/>
                <w:szCs w:val="22"/>
                <w:lang w:bidi="ar-AE"/>
              </w:rPr>
            </w:pPr>
            <w:r>
              <w:rPr>
                <w:rFonts w:hint="default" w:ascii="Times New Roman" w:hAnsi="Times New Roman" w:eastAsia="宋体" w:cs="Times New Roman"/>
                <w:bCs/>
                <w:color w:val="000000"/>
                <w:kern w:val="0"/>
                <w:sz w:val="22"/>
                <w:szCs w:val="22"/>
                <w:lang w:val="en-US" w:bidi="ar-AE"/>
              </w:rPr>
              <w:t>上海新连的最终控制人为</w:t>
            </w:r>
            <w:r>
              <w:rPr>
                <w:rFonts w:hint="default" w:ascii="Times New Roman" w:hAnsi="Times New Roman" w:eastAsia="宋体" w:cs="Times New Roman"/>
                <w:bCs/>
                <w:color w:val="000000"/>
                <w:kern w:val="0"/>
                <w:sz w:val="22"/>
                <w:szCs w:val="22"/>
                <w:lang w:bidi="ar-AE"/>
              </w:rPr>
              <w:t>中国国新控股有限责任公司，主要业务为授权范围内的国有资产经营与管理国有股权经营与管理</w:t>
            </w:r>
            <w:r>
              <w:rPr>
                <w:rFonts w:hint="eastAsia" w:eastAsia="宋体" w:cs="Times New Roman"/>
                <w:bCs/>
                <w:color w:val="000000"/>
                <w:kern w:val="0"/>
                <w:sz w:val="22"/>
                <w:szCs w:val="22"/>
                <w:lang w:eastAsia="zh-CN" w:bidi="ar-AE"/>
              </w:rPr>
              <w:t>、</w:t>
            </w:r>
            <w:r>
              <w:rPr>
                <w:rFonts w:hint="default" w:ascii="Times New Roman" w:hAnsi="Times New Roman" w:eastAsia="宋体" w:cs="Times New Roman"/>
                <w:bCs/>
                <w:color w:val="000000"/>
                <w:kern w:val="0"/>
                <w:sz w:val="22"/>
                <w:szCs w:val="22"/>
                <w:lang w:bidi="ar-AE"/>
              </w:rPr>
              <w:t>受托管理</w:t>
            </w:r>
            <w:r>
              <w:rPr>
                <w:rFonts w:hint="eastAsia" w:eastAsia="宋体" w:cs="Times New Roman"/>
                <w:bCs/>
                <w:color w:val="000000"/>
                <w:kern w:val="0"/>
                <w:sz w:val="22"/>
                <w:szCs w:val="22"/>
                <w:lang w:eastAsia="zh-CN" w:bidi="ar-AE"/>
              </w:rPr>
              <w:t>、</w:t>
            </w:r>
            <w:r>
              <w:rPr>
                <w:rFonts w:hint="default" w:ascii="Times New Roman" w:hAnsi="Times New Roman" w:eastAsia="宋体" w:cs="Times New Roman"/>
                <w:bCs/>
                <w:color w:val="000000"/>
                <w:kern w:val="0"/>
                <w:sz w:val="22"/>
                <w:szCs w:val="22"/>
                <w:lang w:bidi="ar-AE"/>
              </w:rPr>
              <w:t>资本运营</w:t>
            </w:r>
            <w:r>
              <w:rPr>
                <w:rFonts w:hint="eastAsia" w:eastAsia="宋体" w:cs="Times New Roman"/>
                <w:bCs/>
                <w:color w:val="000000"/>
                <w:kern w:val="0"/>
                <w:sz w:val="22"/>
                <w:szCs w:val="22"/>
                <w:lang w:eastAsia="zh-CN" w:bidi="ar-AE"/>
              </w:rPr>
              <w:t>、以及</w:t>
            </w:r>
            <w:r>
              <w:rPr>
                <w:rFonts w:hint="default" w:ascii="Times New Roman" w:hAnsi="Times New Roman" w:eastAsia="宋体" w:cs="Times New Roman"/>
                <w:bCs/>
                <w:color w:val="000000"/>
                <w:kern w:val="0"/>
                <w:sz w:val="22"/>
                <w:szCs w:val="22"/>
                <w:lang w:bidi="ar-AE"/>
              </w:rPr>
              <w:t>为开展上述业务所进行的投资和咨询业务。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简易案件理由（可以单选，</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也可以多选）</w:t>
            </w: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备注</w:t>
            </w:r>
          </w:p>
        </w:tc>
        <w:tc>
          <w:tcPr>
            <w:tcW w:w="7700" w:type="dxa"/>
            <w:gridSpan w:val="2"/>
            <w:vAlign w:val="center"/>
          </w:tcPr>
          <w:p>
            <w:pPr>
              <w:pStyle w:val="5"/>
              <w:adjustRightInd w:val="0"/>
              <w:snapToGrid w:val="0"/>
              <w:spacing w:after="0" w:line="240" w:lineRule="auto"/>
              <w:rPr>
                <w:rFonts w:hint="default" w:ascii="Times New Roman" w:hAnsi="Times New Roman" w:cs="Times New Roman"/>
                <w:b/>
                <w:bCs w:val="0"/>
                <w:color w:val="000000"/>
                <w:sz w:val="22"/>
                <w:szCs w:val="22"/>
                <w:lang w:eastAsia="zh-CN" w:bidi="ar-AE"/>
              </w:rPr>
            </w:pPr>
            <w:r>
              <w:rPr>
                <w:rFonts w:hint="eastAsia" w:cs="Times New Roman"/>
                <w:b/>
                <w:bCs w:val="0"/>
                <w:color w:val="000000"/>
                <w:sz w:val="22"/>
                <w:szCs w:val="22"/>
                <w:lang w:eastAsia="zh-CN" w:bidi="ar-AE"/>
              </w:rPr>
              <w:t>混合集中</w:t>
            </w:r>
            <w:r>
              <w:rPr>
                <w:rFonts w:hint="default" w:ascii="Times New Roman" w:hAnsi="Times New Roman" w:cs="Times New Roman"/>
                <w:b/>
                <w:bCs w:val="0"/>
                <w:color w:val="000000"/>
                <w:sz w:val="22"/>
                <w:szCs w:val="22"/>
                <w:lang w:eastAsia="zh-CN" w:bidi="ar-AE"/>
              </w:rPr>
              <w:t>：</w:t>
            </w:r>
          </w:p>
          <w:tbl>
            <w:tblPr>
              <w:tblStyle w:val="10"/>
              <w:tblW w:w="74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50"/>
              <w:gridCol w:w="2129"/>
              <w:gridCol w:w="24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5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相关商品市场</w:t>
                  </w:r>
                </w:p>
              </w:tc>
              <w:tc>
                <w:tcPr>
                  <w:tcW w:w="2129"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相关地域市场</w:t>
                  </w:r>
                </w:p>
              </w:tc>
              <w:tc>
                <w:tcPr>
                  <w:tcW w:w="249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2023年市场份额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restart"/>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保障性租赁住房开发与运营服务</w:t>
                  </w:r>
                </w:p>
              </w:tc>
              <w:tc>
                <w:tcPr>
                  <w:tcW w:w="2129"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北京</w:t>
                  </w:r>
                  <w:r>
                    <w:rPr>
                      <w:rFonts w:hint="default" w:cs="Times New Roman" w:eastAsiaTheme="minorEastAsia"/>
                      <w:bCs/>
                      <w:color w:val="000000"/>
                      <w:sz w:val="22"/>
                      <w:szCs w:val="22"/>
                      <w:lang w:eastAsia="zh-CN"/>
                    </w:rPr>
                    <w:t>市</w:t>
                  </w:r>
                </w:p>
              </w:tc>
              <w:tc>
                <w:tcPr>
                  <w:tcW w:w="249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continue"/>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p>
              </w:tc>
              <w:tc>
                <w:tcPr>
                  <w:tcW w:w="2129"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上海</w:t>
                  </w:r>
                  <w:r>
                    <w:rPr>
                      <w:rFonts w:hint="default" w:cs="Times New Roman" w:eastAsiaTheme="minorEastAsia"/>
                      <w:bCs/>
                      <w:color w:val="000000"/>
                      <w:sz w:val="22"/>
                      <w:szCs w:val="22"/>
                      <w:lang w:eastAsia="zh-CN"/>
                    </w:rPr>
                    <w:t>市</w:t>
                  </w:r>
                </w:p>
              </w:tc>
              <w:tc>
                <w:tcPr>
                  <w:tcW w:w="249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continue"/>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p>
              </w:tc>
              <w:tc>
                <w:tcPr>
                  <w:tcW w:w="2129"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cs="Times New Roman" w:eastAsiaTheme="minorEastAsia"/>
                      <w:bCs/>
                      <w:color w:val="000000"/>
                      <w:sz w:val="22"/>
                      <w:szCs w:val="22"/>
                      <w:lang w:eastAsia="zh-CN"/>
                    </w:rPr>
                    <w:t>宁波市</w:t>
                  </w:r>
                </w:p>
              </w:tc>
              <w:tc>
                <w:tcPr>
                  <w:tcW w:w="249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val="en-US" w:eastAsia="zh-CN"/>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restart"/>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r>
                    <w:rPr>
                      <w:rFonts w:hint="default" w:ascii="Times New Roman" w:hAnsi="Times New Roman" w:cs="Times New Roman" w:eastAsiaTheme="minorEastAsia"/>
                      <w:bCs/>
                      <w:color w:val="000000"/>
                      <w:sz w:val="22"/>
                      <w:szCs w:val="22"/>
                      <w:lang w:eastAsia="zh-CN"/>
                    </w:rPr>
                    <w:t>住宅物业管理服务市场</w:t>
                  </w:r>
                </w:p>
              </w:tc>
              <w:tc>
                <w:tcPr>
                  <w:tcW w:w="2129"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ascii="Times New Roman" w:hAnsi="Times New Roman" w:cs="Times New Roman" w:eastAsiaTheme="minorEastAsia"/>
                      <w:bCs/>
                      <w:color w:val="000000"/>
                      <w:sz w:val="22"/>
                      <w:szCs w:val="22"/>
                      <w:lang w:eastAsia="zh-CN"/>
                    </w:rPr>
                    <w:t>北京</w:t>
                  </w:r>
                  <w:r>
                    <w:rPr>
                      <w:rFonts w:hint="default" w:cs="Times New Roman" w:eastAsiaTheme="minorEastAsia"/>
                      <w:bCs/>
                      <w:color w:val="000000"/>
                      <w:sz w:val="22"/>
                      <w:szCs w:val="22"/>
                      <w:lang w:eastAsia="zh-CN"/>
                    </w:rPr>
                    <w:t>市</w:t>
                  </w:r>
                </w:p>
              </w:tc>
              <w:tc>
                <w:tcPr>
                  <w:tcW w:w="2490" w:type="dxa"/>
                  <w:shd w:val="clear" w:color="auto" w:fill="auto"/>
                  <w:noWrap w:val="0"/>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continue"/>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p>
              </w:tc>
              <w:tc>
                <w:tcPr>
                  <w:tcW w:w="2129" w:type="dxa"/>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ascii="Times New Roman" w:hAnsi="Times New Roman" w:cs="Times New Roman" w:eastAsiaTheme="minorEastAsia"/>
                      <w:bCs/>
                      <w:color w:val="000000"/>
                      <w:sz w:val="22"/>
                      <w:szCs w:val="22"/>
                      <w:lang w:eastAsia="zh-CN"/>
                    </w:rPr>
                    <w:t>上海</w:t>
                  </w:r>
                  <w:r>
                    <w:rPr>
                      <w:rFonts w:hint="default" w:cs="Times New Roman" w:eastAsiaTheme="minorEastAsia"/>
                      <w:bCs/>
                      <w:color w:val="000000"/>
                      <w:sz w:val="22"/>
                      <w:szCs w:val="22"/>
                      <w:lang w:eastAsia="zh-CN"/>
                    </w:rPr>
                    <w:t>市</w:t>
                  </w:r>
                </w:p>
              </w:tc>
              <w:tc>
                <w:tcPr>
                  <w:tcW w:w="0" w:type="auto"/>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 w:hRule="atLeast"/>
              </w:trPr>
              <w:tc>
                <w:tcPr>
                  <w:tcW w:w="2850" w:type="dxa"/>
                  <w:vMerge w:val="continue"/>
                </w:tcPr>
                <w:p>
                  <w:pPr>
                    <w:pStyle w:val="5"/>
                    <w:adjustRightInd w:val="0"/>
                    <w:snapToGrid w:val="0"/>
                    <w:spacing w:after="0"/>
                    <w:rPr>
                      <w:rFonts w:hint="default" w:ascii="Times New Roman" w:hAnsi="Times New Roman" w:cs="Times New Roman" w:eastAsiaTheme="minorEastAsia"/>
                      <w:bCs/>
                      <w:color w:val="000000"/>
                      <w:sz w:val="22"/>
                      <w:szCs w:val="22"/>
                      <w:lang w:eastAsia="zh-CN"/>
                    </w:rPr>
                  </w:pPr>
                </w:p>
              </w:tc>
              <w:tc>
                <w:tcPr>
                  <w:tcW w:w="2129" w:type="dxa"/>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cs="Times New Roman" w:eastAsiaTheme="minorEastAsia"/>
                      <w:bCs/>
                      <w:color w:val="000000"/>
                      <w:sz w:val="22"/>
                      <w:szCs w:val="22"/>
                      <w:lang w:eastAsia="zh-CN"/>
                    </w:rPr>
                    <w:t>宁波市</w:t>
                  </w:r>
                </w:p>
              </w:tc>
              <w:tc>
                <w:tcPr>
                  <w:tcW w:w="0" w:type="auto"/>
                  <w:vAlign w:val="top"/>
                </w:tcPr>
                <w:p>
                  <w:pPr>
                    <w:pStyle w:val="5"/>
                    <w:adjustRightInd w:val="0"/>
                    <w:snapToGrid w:val="0"/>
                    <w:spacing w:after="0"/>
                    <w:rPr>
                      <w:rFonts w:hint="default" w:ascii="Times New Roman" w:hAnsi="Times New Roman" w:cs="Times New Roman" w:eastAsiaTheme="minorEastAsia"/>
                      <w:bCs/>
                      <w:color w:val="000000"/>
                      <w:kern w:val="2"/>
                      <w:sz w:val="22"/>
                      <w:szCs w:val="22"/>
                      <w:lang w:val="en-US" w:eastAsia="zh-CN" w:bidi="ar-SA"/>
                    </w:rPr>
                  </w:pPr>
                  <w:r>
                    <w:rPr>
                      <w:rFonts w:hint="default" w:ascii="Times New Roman" w:hAnsi="Times New Roman" w:cs="Times New Roman" w:eastAsiaTheme="minorEastAsia"/>
                      <w:bCs/>
                      <w:color w:val="000000"/>
                      <w:sz w:val="22"/>
                      <w:szCs w:val="22"/>
                      <w:lang w:val="en-US" w:eastAsia="zh-CN"/>
                    </w:rPr>
                    <w:t>华润置地：0-5</w:t>
                  </w:r>
                  <w:r>
                    <w:rPr>
                      <w:rFonts w:ascii="Times New Roman" w:hAnsi="Times New Roman" w:cs="Times New Roman" w:eastAsiaTheme="minorEastAsia"/>
                      <w:bCs/>
                      <w:color w:val="000000"/>
                      <w:sz w:val="22"/>
                      <w:szCs w:val="22"/>
                      <w:lang w:val="en-US" w:eastAsia="zh-CN"/>
                    </w:rPr>
                    <w:t>%</w:t>
                  </w:r>
                </w:p>
              </w:tc>
            </w:tr>
          </w:tbl>
          <w:p>
            <w:pPr>
              <w:pStyle w:val="5"/>
              <w:adjustRightInd w:val="0"/>
              <w:snapToGrid w:val="0"/>
              <w:spacing w:after="0" w:line="240" w:lineRule="auto"/>
              <w:rPr>
                <w:rFonts w:hint="default" w:ascii="Times New Roman" w:hAnsi="Times New Roman" w:eastAsia="宋体" w:cs="Times New Roman"/>
                <w:b/>
                <w:bCs w:val="0"/>
                <w:color w:val="000000"/>
                <w:sz w:val="22"/>
                <w:szCs w:val="22"/>
                <w:lang w:eastAsia="zh-CN" w:bidi="ar-SA"/>
              </w:rPr>
            </w:pPr>
          </w:p>
          <w:p>
            <w:pPr>
              <w:pStyle w:val="5"/>
              <w:adjustRightInd w:val="0"/>
              <w:snapToGrid w:val="0"/>
              <w:spacing w:after="0"/>
              <w:rPr>
                <w:rFonts w:hint="default" w:ascii="Times New Roman" w:hAnsi="Times New Roman" w:cs="Times New Roman"/>
                <w:bCs/>
                <w:color w:val="000000"/>
                <w:szCs w:val="21"/>
              </w:rPr>
            </w:pP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DDB0C16"/>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E606197"/>
    <w:rsid w:val="5E758AD3"/>
    <w:rsid w:val="5F5B3889"/>
    <w:rsid w:val="5F7404E1"/>
    <w:rsid w:val="5F7BBE1B"/>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D96DF"/>
    <w:rsid w:val="6DEFBAE0"/>
    <w:rsid w:val="6E372E5F"/>
    <w:rsid w:val="6E786ABC"/>
    <w:rsid w:val="6FDF5799"/>
    <w:rsid w:val="710A7485"/>
    <w:rsid w:val="71394751"/>
    <w:rsid w:val="72131803"/>
    <w:rsid w:val="723024E6"/>
    <w:rsid w:val="73026B48"/>
    <w:rsid w:val="74566BED"/>
    <w:rsid w:val="74CE550B"/>
    <w:rsid w:val="767FE0B3"/>
    <w:rsid w:val="76CA40F3"/>
    <w:rsid w:val="77527FDF"/>
    <w:rsid w:val="779F2D16"/>
    <w:rsid w:val="77FFCFC3"/>
    <w:rsid w:val="78410251"/>
    <w:rsid w:val="793FB7A1"/>
    <w:rsid w:val="7A9C06E1"/>
    <w:rsid w:val="7AB91678"/>
    <w:rsid w:val="7B8F578C"/>
    <w:rsid w:val="7B9A66EF"/>
    <w:rsid w:val="7BE411F0"/>
    <w:rsid w:val="7BFFD823"/>
    <w:rsid w:val="7C7918BC"/>
    <w:rsid w:val="7D8E8A18"/>
    <w:rsid w:val="7EBDA18C"/>
    <w:rsid w:val="7EE72273"/>
    <w:rsid w:val="7EF7CDD2"/>
    <w:rsid w:val="7F7BEB9D"/>
    <w:rsid w:val="7FBF2495"/>
    <w:rsid w:val="7FDCAB43"/>
    <w:rsid w:val="7FE91E78"/>
    <w:rsid w:val="7FFDE69B"/>
    <w:rsid w:val="9CBD0B1A"/>
    <w:rsid w:val="9EF6604C"/>
    <w:rsid w:val="A7F9C1DE"/>
    <w:rsid w:val="B593FB7D"/>
    <w:rsid w:val="BCB7048F"/>
    <w:rsid w:val="BF8E36EE"/>
    <w:rsid w:val="BFDFB85E"/>
    <w:rsid w:val="BFF5AD43"/>
    <w:rsid w:val="BFF739EC"/>
    <w:rsid w:val="D7FFD2F4"/>
    <w:rsid w:val="DDEFBA43"/>
    <w:rsid w:val="DEAFB90F"/>
    <w:rsid w:val="DF21B821"/>
    <w:rsid w:val="DFD76A11"/>
    <w:rsid w:val="E9F71F09"/>
    <w:rsid w:val="EAFD8D58"/>
    <w:rsid w:val="EB6C770B"/>
    <w:rsid w:val="EBCD181E"/>
    <w:rsid w:val="EF7C48A7"/>
    <w:rsid w:val="EFFFDD70"/>
    <w:rsid w:val="F1B778F1"/>
    <w:rsid w:val="F3FF743F"/>
    <w:rsid w:val="F4FF55F7"/>
    <w:rsid w:val="F7FD911C"/>
    <w:rsid w:val="F9DF2CA6"/>
    <w:rsid w:val="FB3326CC"/>
    <w:rsid w:val="FBCE4D19"/>
    <w:rsid w:val="FDBF10AA"/>
    <w:rsid w:val="FF6B92DC"/>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8"/>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8"/>
    <w:qFormat/>
    <w:uiPriority w:val="0"/>
    <w:rPr>
      <w:rFonts w:ascii="Times New Roman" w:hAnsi="Times New Roman" w:eastAsia="宋体" w:cs="Times New Roman"/>
      <w:kern w:val="2"/>
      <w:sz w:val="18"/>
      <w:szCs w:val="18"/>
    </w:rPr>
  </w:style>
  <w:style w:type="character" w:customStyle="1" w:styleId="17">
    <w:name w:val="页脚 字符"/>
    <w:basedOn w:val="12"/>
    <w:link w:val="7"/>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7"/>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4</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2023-02-25T01:34:00Z</dcterms:created>
  <dc:creator>张斌（反垄断处）</dc:creator>
  <cp:lastModifiedBy>scj</cp:lastModifiedBy>
  <cp:lastPrinted>2024-04-03T17:34:00Z</cp:lastPrinted>
  <dcterms:modified xsi:type="dcterms:W3CDTF">2024-11-12T17:01:46Z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