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eastAsia="黑体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eastAsia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984"/>
        <w:gridCol w:w="5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02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sz w:val="24"/>
                <w:lang w:val="en-US" w:eastAsia="zh-CN" w:bidi="ar"/>
              </w:rPr>
              <w:t>中海</w:t>
            </w:r>
            <w:r>
              <w:rPr>
                <w:rFonts w:hint="eastAsia"/>
                <w:bCs/>
                <w:color w:val="000000"/>
                <w:sz w:val="24"/>
                <w:szCs w:val="24"/>
              </w:rPr>
              <w:t>油电力投资有限公司收购广州恒运东区天然气热电有限公司股权案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702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中海油电力投资有限公司（“</w:t>
            </w:r>
            <w:r>
              <w:rPr>
                <w:rFonts w:hint="eastAsia"/>
                <w:color w:val="000000"/>
                <w:sz w:val="24"/>
                <w:szCs w:val="24"/>
              </w:rPr>
              <w:t>海油电投</w:t>
            </w:r>
            <w:r>
              <w:rPr>
                <w:rFonts w:hint="eastAsia"/>
                <w:bCs/>
                <w:color w:val="000000"/>
                <w:sz w:val="24"/>
                <w:szCs w:val="24"/>
              </w:rPr>
              <w:t>”）与广州恒运企业集团股份有限公司（“</w:t>
            </w:r>
            <w:r>
              <w:rPr>
                <w:rFonts w:hint="eastAsia"/>
                <w:color w:val="000000"/>
                <w:sz w:val="24"/>
                <w:szCs w:val="24"/>
              </w:rPr>
              <w:t>恒运集团</w:t>
            </w:r>
            <w:r>
              <w:rPr>
                <w:rFonts w:hint="eastAsia"/>
                <w:bCs/>
                <w:color w:val="000000"/>
                <w:sz w:val="24"/>
                <w:szCs w:val="24"/>
              </w:rPr>
              <w:t>”）签署交易协议，海油电投拟收购广州恒运东区天然气热电有限公司（“</w:t>
            </w:r>
            <w:r>
              <w:rPr>
                <w:rFonts w:hint="eastAsia"/>
                <w:color w:val="000000"/>
                <w:sz w:val="24"/>
                <w:szCs w:val="24"/>
              </w:rPr>
              <w:t>恒运东区</w:t>
            </w:r>
            <w:r>
              <w:rPr>
                <w:rFonts w:hint="eastAsia"/>
                <w:bCs/>
                <w:color w:val="000000"/>
                <w:sz w:val="24"/>
                <w:szCs w:val="24"/>
              </w:rPr>
              <w:t>”）40%的股权。交易前，恒运集团持有恒运东区100%股权，单独控制恒运东区。交易后，恒运集团和海油电投将分别持有恒运东区60%和40%的股权，二者共同控制恒运东区。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984" w:type="dxa"/>
            <w:vAlign w:val="center"/>
          </w:tcPr>
          <w:p>
            <w:pPr>
              <w:pStyle w:val="5"/>
              <w:widowControl/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海油电投</w:t>
            </w:r>
          </w:p>
        </w:tc>
        <w:tc>
          <w:tcPr>
            <w:tcW w:w="5954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海油电投</w:t>
            </w:r>
            <w:r>
              <w:rPr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2020年12月17日</w:t>
            </w:r>
            <w:r>
              <w:rPr>
                <w:sz w:val="24"/>
                <w:szCs w:val="24"/>
              </w:rPr>
              <w:t>成立于</w:t>
            </w:r>
            <w:r>
              <w:rPr>
                <w:rFonts w:hint="eastAsia"/>
                <w:sz w:val="24"/>
                <w:szCs w:val="24"/>
              </w:rPr>
              <w:t>广东省中山市，主要从事天然气发电、电力投资、购售电、碳交易等业务。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海油电投的最终控制人为中国海洋石油集团有限公司（“中国海油”），中国海油主要从事油气勘探开发、炼化与销售、天然气及发电、海上风电等业务。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5"/>
              <w:widowControl/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恒运集团</w:t>
            </w:r>
          </w:p>
        </w:tc>
        <w:tc>
          <w:tcPr>
            <w:tcW w:w="5954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恒运集团</w:t>
            </w:r>
            <w:r>
              <w:rPr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1992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日成立于</w:t>
            </w:r>
            <w:r>
              <w:rPr>
                <w:rFonts w:hint="eastAsia"/>
                <w:sz w:val="24"/>
                <w:szCs w:val="24"/>
              </w:rPr>
              <w:t>广东省广州市，为深圳证券交易所上市公司，主要从事清洁能源业务、新能源业务、金融业务和园区建设。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恒运集团最终控制人为广州开发区控股集团有限公司（“广开控股”）和广州高新区投资集团有限公司（“高新区集团”）。广开控股主要从事科技金融服务、科技战略投资与科技园区运营业务，高新区集团主要从事生物医药、检验检测、医美健康等生物医药与健康产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02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02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702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938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横向重叠</w:t>
            </w:r>
            <w:r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86"/>
              <w:gridCol w:w="2268"/>
              <w:gridCol w:w="2853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53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天然气发电市场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53" w:type="dxa"/>
                  <w:shd w:val="clear" w:color="auto" w:fill="auto"/>
                  <w:vAlign w:val="center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海油电投：5-10%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恒运</w:t>
                  </w: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集团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：0-5%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恒运东区：0-5%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各方合计：5-10%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8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热力生产和供应市场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53" w:type="dxa"/>
                  <w:shd w:val="clear" w:color="auto" w:fill="auto"/>
                  <w:vAlign w:val="center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海油电投：0-5%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恒运集团：0-5%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恒运东区：0-5%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各方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合计：0-5%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纵向关联：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8"/>
              <w:gridCol w:w="2126"/>
              <w:gridCol w:w="2853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8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53" w:type="dxa"/>
                  <w:shd w:val="clear" w:color="auto" w:fill="auto"/>
                  <w:vAlign w:val="center"/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jc w:val="center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8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上游：天然气批发供应市场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下游：天然气发电市场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上游：中国境内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下游：中国境内</w:t>
                  </w:r>
                </w:p>
              </w:tc>
              <w:tc>
                <w:tcPr>
                  <w:tcW w:w="2853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上游：中国境内天然气批发供应市场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海油电投：15-20%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下游：中国境内天然气发电市场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如上所述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8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上游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sz w:val="24"/>
                      <w:szCs w:val="24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下游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：热力生产和供应市场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上游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：中国境内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sz w:val="24"/>
                      <w:szCs w:val="24"/>
                    </w:rPr>
                  </w:pPr>
                </w:p>
                <w:p>
                  <w:pPr>
                    <w:pStyle w:val="6"/>
                    <w:rPr>
                      <w:rFonts w:hint="eastAsia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853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上游：中国境内天然气批发供应市场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如上所述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中国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境内热力生产和供应市场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如上所述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tcPr>
                  <w:tcW w:w="2728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上游：天然气发电市场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下游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：电力销售</w:t>
                  </w: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市场</w:t>
                  </w:r>
                </w:p>
              </w:tc>
              <w:tc>
                <w:tcPr>
                  <w:tcW w:w="2126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上游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：中国境内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下游</w:t>
                  </w: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：中国境内</w:t>
                  </w:r>
                </w:p>
              </w:tc>
              <w:tc>
                <w:tcPr>
                  <w:tcW w:w="2853" w:type="dxa"/>
                  <w:shd w:val="clear" w:color="auto" w:fill="auto"/>
                </w:tcPr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上游：中国境内天然气发电</w:t>
                  </w: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 w:val="0"/>
                      <w:sz w:val="24"/>
                      <w:lang w:val="en-US" w:eastAsia="zh-CN" w:bidi="ar"/>
                    </w:rPr>
                    <w:t>如上所述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下游：中国境内电力销售市场</w:t>
                  </w:r>
                </w:p>
                <w:p>
                  <w:pPr>
                    <w:pStyle w:val="5"/>
                    <w:keepNext w:val="0"/>
                    <w:keepLines w:val="0"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24"/>
                    </w:rPr>
                    <w:t>海油电投：0-5%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rPr>
          <w:rFonts w:eastAsiaTheme="minorEastAsia"/>
        </w:rPr>
      </w:pPr>
    </w:p>
    <w:p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Arial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542BC"/>
    <w:multiLevelType w:val="multilevel"/>
    <w:tmpl w:val="038542B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23CD5"/>
    <w:rsid w:val="00042BDD"/>
    <w:rsid w:val="0007692D"/>
    <w:rsid w:val="00087338"/>
    <w:rsid w:val="000B129C"/>
    <w:rsid w:val="00114814"/>
    <w:rsid w:val="0015468B"/>
    <w:rsid w:val="00162A11"/>
    <w:rsid w:val="001B50F2"/>
    <w:rsid w:val="001C6148"/>
    <w:rsid w:val="001F1C3C"/>
    <w:rsid w:val="00220B05"/>
    <w:rsid w:val="0022179C"/>
    <w:rsid w:val="00221FCA"/>
    <w:rsid w:val="00244DF9"/>
    <w:rsid w:val="00284710"/>
    <w:rsid w:val="00332EAC"/>
    <w:rsid w:val="0034463A"/>
    <w:rsid w:val="00346B84"/>
    <w:rsid w:val="00351103"/>
    <w:rsid w:val="00367A54"/>
    <w:rsid w:val="003835F2"/>
    <w:rsid w:val="004133F3"/>
    <w:rsid w:val="004C4C54"/>
    <w:rsid w:val="00500F51"/>
    <w:rsid w:val="00504BEC"/>
    <w:rsid w:val="00507863"/>
    <w:rsid w:val="005C4EFC"/>
    <w:rsid w:val="005F5560"/>
    <w:rsid w:val="00606430"/>
    <w:rsid w:val="0062408E"/>
    <w:rsid w:val="00627CE6"/>
    <w:rsid w:val="00646E32"/>
    <w:rsid w:val="00692AFF"/>
    <w:rsid w:val="006A20C6"/>
    <w:rsid w:val="006A4389"/>
    <w:rsid w:val="006C3B44"/>
    <w:rsid w:val="00707821"/>
    <w:rsid w:val="0072474D"/>
    <w:rsid w:val="00734F51"/>
    <w:rsid w:val="007D63FA"/>
    <w:rsid w:val="007E06DE"/>
    <w:rsid w:val="007F706B"/>
    <w:rsid w:val="00816711"/>
    <w:rsid w:val="00826195"/>
    <w:rsid w:val="008446C5"/>
    <w:rsid w:val="008472A3"/>
    <w:rsid w:val="00876497"/>
    <w:rsid w:val="00891987"/>
    <w:rsid w:val="008D1D1C"/>
    <w:rsid w:val="009040AD"/>
    <w:rsid w:val="00934D60"/>
    <w:rsid w:val="00996257"/>
    <w:rsid w:val="00A67BEB"/>
    <w:rsid w:val="00A73286"/>
    <w:rsid w:val="00AB10BA"/>
    <w:rsid w:val="00AB5F57"/>
    <w:rsid w:val="00AF2A61"/>
    <w:rsid w:val="00B25C95"/>
    <w:rsid w:val="00B45330"/>
    <w:rsid w:val="00B456E2"/>
    <w:rsid w:val="00B93533"/>
    <w:rsid w:val="00BC4863"/>
    <w:rsid w:val="00BD3FB4"/>
    <w:rsid w:val="00BE051D"/>
    <w:rsid w:val="00C046B3"/>
    <w:rsid w:val="00C659BA"/>
    <w:rsid w:val="00C72941"/>
    <w:rsid w:val="00C91BD4"/>
    <w:rsid w:val="00CC6E5E"/>
    <w:rsid w:val="00CF553B"/>
    <w:rsid w:val="00D11F6E"/>
    <w:rsid w:val="00D14CED"/>
    <w:rsid w:val="00D62B13"/>
    <w:rsid w:val="00E02F08"/>
    <w:rsid w:val="00E40607"/>
    <w:rsid w:val="00E4263C"/>
    <w:rsid w:val="00E466FD"/>
    <w:rsid w:val="00E643EB"/>
    <w:rsid w:val="00EE2FA7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FBFF1"/>
    <w:rsid w:val="76CA40F3"/>
    <w:rsid w:val="77527FDF"/>
    <w:rsid w:val="77AFF4F6"/>
    <w:rsid w:val="77FFCFC3"/>
    <w:rsid w:val="781DC11E"/>
    <w:rsid w:val="78410251"/>
    <w:rsid w:val="793FB7A1"/>
    <w:rsid w:val="7A66B182"/>
    <w:rsid w:val="7A9C06E1"/>
    <w:rsid w:val="7AB91678"/>
    <w:rsid w:val="7B8F578C"/>
    <w:rsid w:val="7B9A66EF"/>
    <w:rsid w:val="7BE411F0"/>
    <w:rsid w:val="7BFD20A7"/>
    <w:rsid w:val="7BFFD823"/>
    <w:rsid w:val="7C7918BC"/>
    <w:rsid w:val="7EE72273"/>
    <w:rsid w:val="7EF7CDD2"/>
    <w:rsid w:val="7F7BEB9D"/>
    <w:rsid w:val="7FBF2495"/>
    <w:rsid w:val="7FDCAB43"/>
    <w:rsid w:val="7FE91E78"/>
    <w:rsid w:val="7FFDE69B"/>
    <w:rsid w:val="9CBD0B1A"/>
    <w:rsid w:val="9FEF137C"/>
    <w:rsid w:val="A7F9C1DE"/>
    <w:rsid w:val="ADFAC79E"/>
    <w:rsid w:val="B3BF1605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DFF2F8F3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ADD6E63"/>
    <w:rsid w:val="FB3326CC"/>
    <w:rsid w:val="FBCE4D19"/>
    <w:rsid w:val="FDBF10AA"/>
    <w:rsid w:val="FEFF44F1"/>
    <w:rsid w:val="FFBC3961"/>
    <w:rsid w:val="FFCFC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0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2">
    <w:name w:val="Revision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6</Pages>
  <Words>2376</Words>
  <Characters>2569</Characters>
  <Lines>291</Lines>
  <Paragraphs>181</Paragraphs>
  <TotalTime>625</TotalTime>
  <ScaleCrop>false</ScaleCrop>
  <LinksUpToDate>false</LinksUpToDate>
  <CharactersWithSpaces>2694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2024-12-10T11:49:00Z</dcterms:created>
  <dc:creator>张斌（反垄断处）</dc:creator>
  <cp:lastModifiedBy>scj</cp:lastModifiedBy>
  <cp:lastPrinted>2024-07-31T01:27:00Z</cp:lastPrinted>
  <dcterms:modified xsi:type="dcterms:W3CDTF">2024-12-13T09:22:06Z</dcterms:modified>
  <dc:title>关于经营者集中反垄断审查案件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GrammarlyDocumentId">
    <vt:lpwstr>415c04c2ea5c76eeb4abe029fcd35cefb8eb7f284a36f64b516eda6a0aa520b6</vt:lpwstr>
  </property>
</Properties>
</file>