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61" w:lineRule="auto"/>
      </w:pPr>
    </w:p>
    <w:p>
      <w:pPr>
        <w:spacing w:before="185" w:line="211" w:lineRule="auto"/>
        <w:jc w:val="center"/>
        <w:outlineLvl w:val="0"/>
        <w:rPr>
          <w:rFonts w:ascii="黑体" w:hAnsi="黑体" w:eastAsia="黑体" w:cs="微软雅黑"/>
          <w:sz w:val="36"/>
          <w:szCs w:val="36"/>
          <w:lang w:eastAsia="zh-CN"/>
        </w:rPr>
      </w:pPr>
      <w:r>
        <w:rPr>
          <w:rFonts w:ascii="黑体" w:hAnsi="黑体" w:eastAsia="黑体" w:cs="微软雅黑"/>
          <w:spacing w:val="9"/>
          <w:sz w:val="36"/>
          <w:szCs w:val="36"/>
          <w:lang w:eastAsia="zh-CN"/>
        </w:rPr>
        <w:t>经营者集中简易案件公示表</w:t>
      </w:r>
    </w:p>
    <w:p>
      <w:pPr>
        <w:spacing w:line="238" w:lineRule="exact"/>
        <w:rPr>
          <w:lang w:eastAsia="zh-CN"/>
        </w:rPr>
      </w:pPr>
    </w:p>
    <w:tbl>
      <w:tblPr>
        <w:tblStyle w:val="11"/>
        <w:tblW w:w="964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4"/>
        <w:gridCol w:w="1606"/>
        <w:gridCol w:w="609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1944" w:type="dxa"/>
            <w:shd w:val="clear" w:color="auto" w:fill="D9D9D9"/>
          </w:tcPr>
          <w:p>
            <w:pPr>
              <w:pStyle w:val="12"/>
              <w:spacing w:after="0"/>
              <w:ind w:right="107"/>
              <w:jc w:val="both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pacing w:val="5"/>
                <w:lang w:eastAsia="zh-CN"/>
              </w:rPr>
              <w:t>案件名称</w:t>
            </w:r>
          </w:p>
        </w:tc>
        <w:tc>
          <w:tcPr>
            <w:tcW w:w="7700" w:type="dxa"/>
            <w:gridSpan w:val="2"/>
          </w:tcPr>
          <w:p>
            <w:pPr>
              <w:pStyle w:val="12"/>
              <w:spacing w:after="0"/>
              <w:ind w:left="108" w:right="108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color w:val="242424"/>
                <w:lang w:eastAsia="zh-CN"/>
              </w:rPr>
              <w:t>广汽零部件有限公司收购辰致科技有限公司股权案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439" w:hRule="atLeast"/>
        </w:trPr>
        <w:tc>
          <w:tcPr>
            <w:tcW w:w="1944" w:type="dxa"/>
            <w:shd w:val="clear" w:color="auto" w:fill="D9D9D9"/>
          </w:tcPr>
          <w:p>
            <w:pPr>
              <w:pStyle w:val="12"/>
              <w:spacing w:after="0"/>
              <w:ind w:right="107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pacing w:val="5"/>
                <w:lang w:eastAsia="zh-CN"/>
              </w:rPr>
              <w:t>交易概况</w:t>
            </w:r>
          </w:p>
        </w:tc>
        <w:tc>
          <w:tcPr>
            <w:tcW w:w="7700" w:type="dxa"/>
            <w:gridSpan w:val="2"/>
          </w:tcPr>
          <w:p>
            <w:pPr>
              <w:pStyle w:val="12"/>
              <w:spacing w:after="0"/>
              <w:ind w:left="108" w:right="103" w:hanging="1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辰致科技有限公司（“辰致公司”）与广汽零部件有限公司（“广汽零部件”）、中国长安汽车集团有限公司（“中国长安”）、重庆长安汽车股份有限公司签订增资协议，广汽零部件拟认购辰致公司的新增注册资本，并持有辰致公司30%的股权。辰致公司主要从事汽车线控制动产品、线控转向产品、线控悬架产品的研发、生产和销售，并致力于线控底盘领域的技术研发和突破，打造线控底盘国产新品牌。交易前，中国长安持有辰致公司100%的股权，单独控制辰致公司。交易后，中国长安、广汽零部件分别持有辰致公司65%、30%的股权，由中国长安和广汽零部件共同控制辰致公司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6" w:hRule="atLeast"/>
        </w:trPr>
        <w:tc>
          <w:tcPr>
            <w:tcW w:w="1944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pStyle w:val="12"/>
              <w:spacing w:after="0"/>
              <w:ind w:right="107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pacing w:val="5"/>
                <w:lang w:eastAsia="zh-CN"/>
              </w:rPr>
              <w:t>参与集中的经营</w:t>
            </w:r>
            <w:r>
              <w:rPr>
                <w:rFonts w:ascii="宋体" w:hAnsi="宋体" w:eastAsia="宋体"/>
                <w:spacing w:val="4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1"/>
                <w:lang w:eastAsia="zh-CN"/>
              </w:rPr>
              <w:t>者简介</w:t>
            </w:r>
          </w:p>
        </w:tc>
        <w:tc>
          <w:tcPr>
            <w:tcW w:w="1606" w:type="dxa"/>
          </w:tcPr>
          <w:p>
            <w:pPr>
              <w:pStyle w:val="12"/>
              <w:spacing w:after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pacing w:val="-6"/>
              </w:rPr>
              <w:t>1.</w:t>
            </w:r>
            <w:r>
              <w:rPr>
                <w:rFonts w:hint="eastAsia" w:ascii="宋体" w:hAnsi="宋体" w:eastAsia="宋体"/>
                <w:spacing w:val="-6"/>
                <w:lang w:eastAsia="zh-CN"/>
              </w:rPr>
              <w:t>广汽零部件</w:t>
            </w:r>
          </w:p>
        </w:tc>
        <w:tc>
          <w:tcPr>
            <w:tcW w:w="6094" w:type="dxa"/>
          </w:tcPr>
          <w:p>
            <w:pPr>
              <w:pStyle w:val="2"/>
              <w:spacing w:after="0" w:line="240" w:lineRule="auto"/>
              <w:jc w:val="both"/>
              <w:rPr>
                <w:rFonts w:ascii="宋体" w:hAnsi="宋体"/>
                <w:sz w:val="24"/>
                <w:lang w:val="en-GB"/>
              </w:rPr>
            </w:pPr>
            <w:r>
              <w:rPr>
                <w:rFonts w:hint="eastAsia" w:ascii="宋体" w:hAnsi="宋体"/>
                <w:sz w:val="24"/>
                <w:lang w:val="en-GB"/>
              </w:rPr>
              <w:t>广汽零部件于2000年8月2</w:t>
            </w:r>
            <w:r>
              <w:rPr>
                <w:rFonts w:ascii="宋体" w:hAnsi="宋体"/>
                <w:sz w:val="24"/>
                <w:lang w:val="en-GB"/>
              </w:rPr>
              <w:t>8</w:t>
            </w:r>
            <w:r>
              <w:rPr>
                <w:rFonts w:hint="eastAsia" w:ascii="宋体" w:hAnsi="宋体"/>
                <w:sz w:val="24"/>
                <w:lang w:val="en-GB"/>
              </w:rPr>
              <w:t>日成立于广东省广州市，主要业务为汽车零部件制造、销售等。</w:t>
            </w:r>
          </w:p>
          <w:p>
            <w:pPr>
              <w:pStyle w:val="2"/>
              <w:spacing w:after="0" w:line="240" w:lineRule="auto"/>
              <w:jc w:val="both"/>
              <w:rPr>
                <w:rFonts w:ascii="宋体" w:hAnsi="宋体"/>
                <w:sz w:val="24"/>
                <w:lang w:val="en-GB"/>
              </w:rPr>
            </w:pPr>
            <w:r>
              <w:rPr>
                <w:rFonts w:hint="eastAsia" w:ascii="宋体" w:hAnsi="宋体"/>
                <w:sz w:val="24"/>
                <w:lang w:val="en-GB"/>
              </w:rPr>
              <w:t>广汽零部件最终控制人为广州汽车工业集团有限公司，主要业务为汽车整车及零部件的设计与制造等。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2091" w:hRule="atLeast"/>
        </w:trPr>
        <w:tc>
          <w:tcPr>
            <w:tcW w:w="1944" w:type="dxa"/>
            <w:vMerge w:val="continue"/>
            <w:tcBorders>
              <w:top w:val="nil"/>
            </w:tcBorders>
          </w:tcPr>
          <w:p>
            <w:pPr>
              <w:spacing w:after="0"/>
              <w:jc w:val="both"/>
              <w:rPr>
                <w:rFonts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1606" w:type="dxa"/>
          </w:tcPr>
          <w:p>
            <w:pPr>
              <w:pStyle w:val="12"/>
              <w:spacing w:after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pacing w:val="-4"/>
              </w:rPr>
              <w:t>2.</w:t>
            </w:r>
            <w:r>
              <w:rPr>
                <w:rFonts w:hint="eastAsia" w:ascii="宋体" w:hAnsi="宋体" w:eastAsia="宋体"/>
                <w:spacing w:val="-4"/>
                <w:lang w:eastAsia="zh-CN"/>
              </w:rPr>
              <w:t>中国长安</w:t>
            </w:r>
          </w:p>
        </w:tc>
        <w:tc>
          <w:tcPr>
            <w:tcW w:w="6094" w:type="dxa"/>
          </w:tcPr>
          <w:p>
            <w:pPr>
              <w:pStyle w:val="12"/>
              <w:spacing w:after="0"/>
              <w:ind w:left="108" w:right="108" w:firstLine="1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中国长安于2005年12月26日成立于中国北京市，主要从事汽车整车和零部件制造、销售和物流业务等。</w:t>
            </w:r>
          </w:p>
          <w:p>
            <w:pPr>
              <w:pStyle w:val="12"/>
              <w:spacing w:after="0"/>
              <w:ind w:left="108" w:right="108" w:firstLine="1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中国长安的最终控制人为中国兵器装备集团有限公司，主要业务为国有资产投资、经营与管理，武器装备的研发、生产、保障、服务等。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944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pStyle w:val="12"/>
              <w:spacing w:after="0"/>
              <w:ind w:right="107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pacing w:val="45"/>
                <w:lang w:eastAsia="zh-CN"/>
              </w:rPr>
              <w:t>简易案件理由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12"/>
              <w:spacing w:after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 xml:space="preserve"> 1.在同一相关市场，参与集中的经营者所占市场份额之和小于</w:t>
            </w:r>
            <w:r>
              <w:rPr>
                <w:rFonts w:hint="eastAsia" w:ascii="宋体" w:hAnsi="宋体" w:eastAsia="宋体" w:cs="宋体"/>
                <w:bCs/>
                <w:lang w:eastAsia="zh-CN"/>
              </w:rPr>
              <w:t>15%</w:t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53" w:hRule="atLeast"/>
        </w:trPr>
        <w:tc>
          <w:tcPr>
            <w:tcW w:w="1944" w:type="dxa"/>
            <w:vMerge w:val="continue"/>
            <w:tcBorders>
              <w:top w:val="nil"/>
              <w:bottom w:val="nil"/>
            </w:tcBorders>
          </w:tcPr>
          <w:p>
            <w:pPr>
              <w:spacing w:after="0"/>
              <w:jc w:val="both"/>
              <w:rPr>
                <w:rFonts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</w:tcPr>
          <w:p>
            <w:pPr>
              <w:pStyle w:val="12"/>
              <w:spacing w:after="0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cs="宋体"/>
                <w:bCs/>
                <w:lang w:val="en-GB" w:eastAsia="zh-CN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lang w:val="en-GB" w:eastAsia="zh-CN"/>
              </w:rPr>
              <w:t xml:space="preserve"> </w:t>
            </w:r>
            <w:r>
              <w:rPr>
                <w:rFonts w:ascii="宋体" w:hAnsi="宋体" w:eastAsia="宋体"/>
                <w:spacing w:val="-1"/>
                <w:lang w:eastAsia="zh-CN"/>
              </w:rPr>
              <w:t>2.在上下游市场，参与集中的经营者所占的市场份额均小于25%。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944" w:type="dxa"/>
            <w:vMerge w:val="continue"/>
            <w:tcBorders>
              <w:top w:val="nil"/>
            </w:tcBorders>
          </w:tcPr>
          <w:p>
            <w:pPr>
              <w:spacing w:after="0"/>
              <w:jc w:val="both"/>
              <w:rPr>
                <w:rFonts w:ascii="宋体" w:hAnsi="宋体" w:eastAsia="宋体"/>
                <w:sz w:val="24"/>
                <w:szCs w:val="24"/>
                <w:lang w:eastAsia="zh-CN"/>
              </w:rPr>
            </w:pPr>
          </w:p>
        </w:tc>
        <w:tc>
          <w:tcPr>
            <w:tcW w:w="7700" w:type="dxa"/>
            <w:gridSpan w:val="2"/>
          </w:tcPr>
          <w:p>
            <w:pPr>
              <w:pStyle w:val="12"/>
              <w:spacing w:after="0"/>
              <w:ind w:right="108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 xml:space="preserve"> </w:t>
            </w:r>
            <w:r>
              <w:rPr>
                <w:rFonts w:ascii="宋体" w:hAnsi="宋体" w:eastAsia="宋体"/>
                <w:lang w:eastAsia="zh-CN"/>
              </w:rPr>
              <w:t>3.不在同一相关市场也不存在上下游关系的参与集</w:t>
            </w:r>
            <w:r>
              <w:rPr>
                <w:rFonts w:ascii="宋体" w:hAnsi="宋体" w:eastAsia="宋体"/>
                <w:spacing w:val="-1"/>
                <w:lang w:eastAsia="zh-CN"/>
              </w:rPr>
              <w:t>中的经营者</w:t>
            </w:r>
            <w:r>
              <w:rPr>
                <w:rFonts w:ascii="宋体" w:hAnsi="宋体" w:eastAsia="宋体"/>
                <w:spacing w:val="-27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1"/>
                <w:lang w:eastAsia="zh-CN"/>
              </w:rPr>
              <w:t>，在与</w:t>
            </w:r>
            <w:r>
              <w:rPr>
                <w:rFonts w:ascii="宋体" w:hAnsi="宋体" w:eastAsia="宋体"/>
                <w:lang w:eastAsia="zh-CN"/>
              </w:rPr>
              <w:t>交易有关的每个市场所占的市场份额均小于</w:t>
            </w:r>
            <w:r>
              <w:rPr>
                <w:rFonts w:ascii="宋体" w:hAnsi="宋体" w:eastAsia="宋体"/>
                <w:spacing w:val="-1"/>
                <w:lang w:eastAsia="zh-CN"/>
              </w:rPr>
              <w:t>25%。</w:t>
            </w:r>
          </w:p>
        </w:tc>
      </w:tr>
    </w:tbl>
    <w:p>
      <w:pPr>
        <w:spacing w:after="0"/>
        <w:rPr>
          <w:rFonts w:ascii="宋体" w:hAnsi="宋体" w:eastAsia="宋体"/>
          <w:lang w:eastAsia="zh-CN"/>
        </w:rPr>
        <w:sectPr>
          <w:pgSz w:w="11906" w:h="16839"/>
          <w:pgMar w:top="1431" w:right="1071" w:bottom="0" w:left="1185" w:header="0" w:footer="0" w:gutter="0"/>
          <w:cols w:space="720" w:num="1"/>
        </w:sectPr>
      </w:pPr>
    </w:p>
    <w:p>
      <w:pPr>
        <w:spacing w:after="0"/>
        <w:rPr>
          <w:rFonts w:ascii="宋体" w:hAnsi="宋体" w:eastAsia="宋体"/>
          <w:lang w:eastAsia="zh-CN"/>
        </w:rPr>
      </w:pPr>
    </w:p>
    <w:tbl>
      <w:tblPr>
        <w:tblStyle w:val="11"/>
        <w:tblW w:w="964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3"/>
        <w:gridCol w:w="7701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943" w:type="dxa"/>
            <w:vMerge w:val="restart"/>
            <w:tcBorders>
              <w:bottom w:val="nil"/>
            </w:tcBorders>
            <w:shd w:val="clear" w:color="auto" w:fill="D9D9D9"/>
          </w:tcPr>
          <w:p>
            <w:pPr>
              <w:spacing w:after="0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7701" w:type="dxa"/>
          </w:tcPr>
          <w:p>
            <w:pPr>
              <w:pStyle w:val="12"/>
              <w:spacing w:after="0"/>
              <w:ind w:right="108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 xml:space="preserve"> </w:t>
            </w:r>
            <w:r>
              <w:rPr>
                <w:rFonts w:ascii="宋体" w:hAnsi="宋体" w:eastAsia="宋体"/>
                <w:spacing w:val="1"/>
                <w:lang w:eastAsia="zh-CN"/>
              </w:rPr>
              <w:t>4.参与集中的经营者在中国境外设立合营企业，合营企业不在中国境</w:t>
            </w:r>
            <w:r>
              <w:rPr>
                <w:rFonts w:ascii="宋体" w:hAnsi="宋体" w:eastAsia="宋体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4"/>
                <w:lang w:eastAsia="zh-CN"/>
              </w:rPr>
              <w:t>内从事经济活动。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943" w:type="dxa"/>
            <w:vMerge w:val="continue"/>
            <w:tcBorders>
              <w:top w:val="nil"/>
              <w:bottom w:val="nil"/>
            </w:tcBorders>
          </w:tcPr>
          <w:p>
            <w:pPr>
              <w:spacing w:after="0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7701" w:type="dxa"/>
          </w:tcPr>
          <w:p>
            <w:pPr>
              <w:pStyle w:val="12"/>
              <w:spacing w:after="0"/>
              <w:ind w:right="108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 xml:space="preserve"> </w:t>
            </w:r>
            <w:r>
              <w:rPr>
                <w:rFonts w:ascii="宋体" w:hAnsi="宋体" w:eastAsia="宋体"/>
                <w:spacing w:val="1"/>
                <w:lang w:eastAsia="zh-CN"/>
              </w:rPr>
              <w:t>5.参与集中的经营者收购境外企业股权或资产的，该境外企业不在中</w:t>
            </w:r>
            <w:r>
              <w:rPr>
                <w:rFonts w:ascii="宋体" w:hAnsi="宋体" w:eastAsia="宋体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3"/>
                <w:lang w:eastAsia="zh-CN"/>
              </w:rPr>
              <w:t>国境内从事经济活动。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943" w:type="dxa"/>
            <w:vMerge w:val="continue"/>
            <w:tcBorders>
              <w:top w:val="nil"/>
            </w:tcBorders>
          </w:tcPr>
          <w:p>
            <w:pPr>
              <w:spacing w:after="0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7701" w:type="dxa"/>
          </w:tcPr>
          <w:p>
            <w:pPr>
              <w:pStyle w:val="12"/>
              <w:spacing w:after="0"/>
              <w:ind w:right="108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lang w:val="en-GB" w:eastAsia="zh-CN"/>
              </w:rPr>
              <w:t xml:space="preserve"> </w:t>
            </w:r>
            <w:r>
              <w:rPr>
                <w:rFonts w:ascii="宋体" w:hAnsi="宋体" w:eastAsia="宋体"/>
                <w:spacing w:val="-1"/>
                <w:lang w:eastAsia="zh-CN"/>
              </w:rPr>
              <w:t>6.由两个以上的经营者共同控制的合营企业</w:t>
            </w:r>
            <w:r>
              <w:rPr>
                <w:rFonts w:ascii="宋体" w:hAnsi="宋体" w:eastAsia="宋体"/>
                <w:spacing w:val="-27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2"/>
                <w:lang w:eastAsia="zh-CN"/>
              </w:rPr>
              <w:t>，通过集中被其中一个或</w:t>
            </w:r>
            <w:r>
              <w:rPr>
                <w:rFonts w:ascii="宋体" w:hAnsi="宋体" w:eastAsia="宋体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pacing w:val="-1"/>
                <w:lang w:eastAsia="zh-CN"/>
              </w:rPr>
              <w:t>一个以上经营者控制。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3" w:hRule="atLeast"/>
        </w:trPr>
        <w:tc>
          <w:tcPr>
            <w:tcW w:w="1943" w:type="dxa"/>
            <w:shd w:val="clear" w:color="auto" w:fill="D9D9D9"/>
          </w:tcPr>
          <w:p>
            <w:pPr>
              <w:pStyle w:val="12"/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pacing w:val="-3"/>
              </w:rPr>
              <w:t>备注</w:t>
            </w:r>
          </w:p>
        </w:tc>
        <w:tc>
          <w:tcPr>
            <w:tcW w:w="7701" w:type="dxa"/>
          </w:tcPr>
          <w:p>
            <w:pPr>
              <w:pStyle w:val="12"/>
              <w:spacing w:after="0"/>
              <w:ind w:left="109"/>
              <w:rPr>
                <w:rFonts w:ascii="宋体" w:hAnsi="宋体" w:eastAsia="宋体"/>
                <w:b/>
                <w:bCs/>
                <w:spacing w:val="-1"/>
                <w:lang w:eastAsia="zh-CN"/>
              </w:rPr>
            </w:pPr>
            <w:r>
              <w:rPr>
                <w:rFonts w:ascii="宋体" w:hAnsi="宋体" w:eastAsia="宋体"/>
                <w:b/>
                <w:bCs/>
                <w:spacing w:val="-1"/>
                <w:lang w:eastAsia="zh-CN"/>
              </w:rPr>
              <w:t>纵向关联：</w:t>
            </w:r>
          </w:p>
          <w:p>
            <w:pPr>
              <w:pStyle w:val="12"/>
              <w:spacing w:after="0"/>
              <w:ind w:left="109"/>
              <w:rPr>
                <w:rFonts w:ascii="宋体" w:hAnsi="宋体" w:eastAsia="宋体"/>
                <w:b/>
                <w:bCs/>
                <w:spacing w:val="-1"/>
                <w:lang w:eastAsia="zh-CN"/>
              </w:rPr>
            </w:pPr>
          </w:p>
          <w:tbl>
            <w:tblPr>
              <w:tblStyle w:val="8"/>
              <w:tblW w:w="769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29"/>
              <w:gridCol w:w="2050"/>
              <w:gridCol w:w="301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</w:tcPr>
                <w:p>
                  <w:pPr>
                    <w:pStyle w:val="12"/>
                    <w:widowControl w:val="0"/>
                    <w:spacing w:after="0"/>
                    <w:ind w:right="108"/>
                    <w:jc w:val="center"/>
                    <w:rPr>
                      <w:rFonts w:ascii="宋体" w:hAnsi="宋体" w:eastAsia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/>
                      <w:spacing w:val="-1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050" w:type="dxa"/>
                </w:tcPr>
                <w:p>
                  <w:pPr>
                    <w:pStyle w:val="12"/>
                    <w:widowControl w:val="0"/>
                    <w:spacing w:after="0"/>
                    <w:ind w:right="108"/>
                    <w:jc w:val="center"/>
                    <w:rPr>
                      <w:rFonts w:ascii="宋体" w:hAnsi="宋体" w:eastAsia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/>
                      <w:spacing w:val="-1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018" w:type="dxa"/>
                </w:tcPr>
                <w:p>
                  <w:pPr>
                    <w:pStyle w:val="12"/>
                    <w:widowControl w:val="0"/>
                    <w:spacing w:after="0"/>
                    <w:ind w:right="108"/>
                    <w:jc w:val="center"/>
                    <w:rPr>
                      <w:rFonts w:ascii="宋体" w:hAnsi="宋体" w:eastAsia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/>
                      <w:spacing w:val="-1"/>
                      <w:lang w:eastAsia="zh-CN"/>
                    </w:rPr>
                    <w:t>2023年市场份额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上游：电子液压线控制动系统市场</w:t>
                  </w:r>
                </w:p>
                <w:p>
                  <w:pPr>
                    <w:pStyle w:val="12"/>
                    <w:widowControl/>
                    <w:spacing w:after="0"/>
                    <w:ind w:left="109" w:right="108" w:firstLine="14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下游：乘用车市场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上游：中国境内电子液压线控制动系统市场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中国长安（含辰致公司）：0%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合计：0%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下游：中国境内乘用车市场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中国长安：5-10%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广汽零部件：0-5%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合计：10%-15%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上游：电子驻车制动系统市场</w:t>
                  </w:r>
                </w:p>
                <w:p>
                  <w:pPr>
                    <w:pStyle w:val="12"/>
                    <w:widowControl/>
                    <w:spacing w:after="0"/>
                    <w:ind w:left="109" w:right="108" w:firstLine="14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下游：乘用车市场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上游：中国境内电子驻车制动系统市场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中国长安（含辰致公司）：0-3%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合计：0-3%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下游：中国境内乘用车市场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中国长安：如上所述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广汽零部件：如上所述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上游：电子助力转向系统市场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下游：乘用车市场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上游：中国境内电子助力转向系统市场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中国长安（含辰致公司）：0-3%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合计：0-3%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下游：中国境内乘用车市场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中国长安：如上所述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广汽零部件：如上所述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上游：空气悬架系统市场</w:t>
                  </w: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下游：乘用车市场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上游：中国境内空气悬架系统市场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中国长安（含辰致公司）：0%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合计：0%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下游：中国境内乘用车市场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中国长安：如上所述</w:t>
                  </w: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广汽零部件：如上所述</w:t>
                  </w:r>
                </w:p>
                <w:p>
                  <w:pPr>
                    <w:widowControl w:val="0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上游：CDC悬架系统市场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下游：乘用车市场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上游：中国境内CDC悬架系统市场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（含辰致公司）：0-3%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合计：0-3%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下游：中国境内乘用车市场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中国长安：如上所述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广汽零部件：如上所述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电子液压线控制动系统市场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下游：商用车市场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电子液压线控制动系统市场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（含辰致公司）：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下游：中国境内商用车市场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中国长安：5-10%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广汽零部件：0-3%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合计：5%-10%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629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上游：电子驻车制动系统市场</w:t>
                  </w:r>
                </w:p>
                <w:p>
                  <w:pPr>
                    <w:pStyle w:val="12"/>
                    <w:widowControl/>
                    <w:spacing w:after="0"/>
                    <w:ind w:left="109" w:right="108" w:firstLine="14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下游：商用车市场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上游：中国境内电子驻车制动系统市场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中国长安（含辰致公司）：如上所述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下游：中国境内商用车市场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中国长安：如上所述</w:t>
                  </w: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广汽零部件：如上所述</w:t>
                  </w:r>
                </w:p>
                <w:p>
                  <w:pPr>
                    <w:widowControl w:val="0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上游：电子助力转向系统市场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下游：商用车市场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上游：中国境内电子助力转向系统产品市场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（含辰致公司）：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下游：中国境内商用车市场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中国长安：如上所述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广汽零部件：如上所述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上游：空气悬架系统市场</w:t>
                  </w: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下游：商用车市场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 w:val="0"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上游：中国境内空气悬架系统市场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（含辰致公司）：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下游：中国境内商用车市场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中国长安：如上所述</w:t>
                  </w:r>
                </w:p>
                <w:p>
                  <w:pPr>
                    <w:widowControl w:val="0"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广汽零部件：如上所述</w:t>
                  </w:r>
                </w:p>
                <w:p>
                  <w:pPr>
                    <w:widowControl w:val="0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29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上游：CDC悬架系统市场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lang w:eastAsia="zh-CN"/>
                    </w:rPr>
                  </w:pP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lang w:eastAsia="zh-CN"/>
                    </w:rPr>
                    <w:t>下游：商用车市场</w:t>
                  </w:r>
                </w:p>
              </w:tc>
              <w:tc>
                <w:tcPr>
                  <w:tcW w:w="2050" w:type="dxa"/>
                  <w:vAlign w:val="center"/>
                </w:tcPr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上游：中国境内</w:t>
                  </w:r>
                </w:p>
                <w:p>
                  <w:pPr>
                    <w:pStyle w:val="12"/>
                    <w:widowControl/>
                    <w:spacing w:after="0"/>
                    <w:ind w:right="108"/>
                    <w:jc w:val="both"/>
                    <w:rPr>
                      <w:rFonts w:ascii="宋体" w:hAnsi="宋体" w:eastAsia="宋体" w:cs="宋体"/>
                      <w:spacing w:val="-1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1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3018" w:type="dxa"/>
                  <w:vAlign w:val="center"/>
                </w:tcPr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上游：中国境内CDC悬架系统市场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</w:t>
                  </w:r>
                  <w:r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  <w:t>（含辰致公司）：如上所述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bookmarkStart w:id="0" w:name="_GoBack"/>
                  <w:bookmarkEnd w:id="0"/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下游：中国境内商用车市场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中国长安：如上所述</w:t>
                  </w:r>
                </w:p>
                <w:p>
                  <w:pPr>
                    <w:widowControl/>
                    <w:jc w:val="both"/>
                    <w:rPr>
                      <w:rFonts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广汽零部件：如上所述</w:t>
                  </w:r>
                </w:p>
                <w:p>
                  <w:pPr>
                    <w:widowControl/>
                    <w:jc w:val="both"/>
                    <w:rPr>
                      <w:rFonts w:hint="eastAsia" w:ascii="宋体" w:hAnsi="宋体" w:eastAsia="宋体" w:cs="宋体"/>
                      <w:spacing w:val="-1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合计：如上所述</w:t>
                  </w:r>
                </w:p>
              </w:tc>
            </w:tr>
          </w:tbl>
          <w:p>
            <w:pPr>
              <w:pStyle w:val="12"/>
              <w:spacing w:after="0"/>
              <w:ind w:left="109" w:right="4280"/>
              <w:rPr>
                <w:lang w:eastAsia="zh-CN"/>
              </w:rPr>
            </w:pPr>
          </w:p>
        </w:tc>
      </w:tr>
    </w:tbl>
    <w:p>
      <w:pPr>
        <w:spacing w:line="449" w:lineRule="auto"/>
        <w:rPr>
          <w:lang w:eastAsia="zh-CN"/>
        </w:rPr>
      </w:pPr>
    </w:p>
    <w:sectPr>
      <w:pgSz w:w="11906" w:h="16839"/>
      <w:pgMar w:top="1431" w:right="1361" w:bottom="0" w:left="1361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Times New Roman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0F3C52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true"/>
  <w:bordersDoNotSurroundHeader w:val="true"/>
  <w:bordersDoNotSurroundFooter w:val="true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ExNTIzZTM5YTBlZTQ4YmUwMGVhZDM3MDM1MTk2MjAifQ=="/>
  </w:docVars>
  <w:rsids>
    <w:rsidRoot w:val="00561698"/>
    <w:rsid w:val="00021AE8"/>
    <w:rsid w:val="00022EAB"/>
    <w:rsid w:val="00044AC2"/>
    <w:rsid w:val="0006166E"/>
    <w:rsid w:val="00072839"/>
    <w:rsid w:val="0008562B"/>
    <w:rsid w:val="000B09AE"/>
    <w:rsid w:val="000B5EA0"/>
    <w:rsid w:val="000B75FB"/>
    <w:rsid w:val="000D4A15"/>
    <w:rsid w:val="000D7E9A"/>
    <w:rsid w:val="000E30F9"/>
    <w:rsid w:val="001961F3"/>
    <w:rsid w:val="001F00BD"/>
    <w:rsid w:val="002312CF"/>
    <w:rsid w:val="00231835"/>
    <w:rsid w:val="00286EBD"/>
    <w:rsid w:val="002F13B0"/>
    <w:rsid w:val="00307E6B"/>
    <w:rsid w:val="0040526D"/>
    <w:rsid w:val="004541B9"/>
    <w:rsid w:val="004C0856"/>
    <w:rsid w:val="00526CC6"/>
    <w:rsid w:val="005270BB"/>
    <w:rsid w:val="0053233F"/>
    <w:rsid w:val="00561698"/>
    <w:rsid w:val="00575BB3"/>
    <w:rsid w:val="005B14F8"/>
    <w:rsid w:val="006746E1"/>
    <w:rsid w:val="00680D48"/>
    <w:rsid w:val="00695A34"/>
    <w:rsid w:val="006B4F92"/>
    <w:rsid w:val="006F3FFE"/>
    <w:rsid w:val="0072717C"/>
    <w:rsid w:val="007C4BE3"/>
    <w:rsid w:val="007C6F3C"/>
    <w:rsid w:val="008508CA"/>
    <w:rsid w:val="00860457"/>
    <w:rsid w:val="008613AF"/>
    <w:rsid w:val="00904F2C"/>
    <w:rsid w:val="00962478"/>
    <w:rsid w:val="009B25EC"/>
    <w:rsid w:val="00A8252A"/>
    <w:rsid w:val="00AA0508"/>
    <w:rsid w:val="00AB7371"/>
    <w:rsid w:val="00AD167F"/>
    <w:rsid w:val="00B731B7"/>
    <w:rsid w:val="00BB26BD"/>
    <w:rsid w:val="00BB2DDE"/>
    <w:rsid w:val="00BC7711"/>
    <w:rsid w:val="00BE3A78"/>
    <w:rsid w:val="00C35E03"/>
    <w:rsid w:val="00C605DB"/>
    <w:rsid w:val="00CD31F1"/>
    <w:rsid w:val="00CD6044"/>
    <w:rsid w:val="00CE0FBD"/>
    <w:rsid w:val="00D246EF"/>
    <w:rsid w:val="00D47300"/>
    <w:rsid w:val="00D62C4F"/>
    <w:rsid w:val="00D86764"/>
    <w:rsid w:val="00D954A7"/>
    <w:rsid w:val="00D96A68"/>
    <w:rsid w:val="00DD5F98"/>
    <w:rsid w:val="00E01D91"/>
    <w:rsid w:val="00E043BC"/>
    <w:rsid w:val="00E871CE"/>
    <w:rsid w:val="00EA6D40"/>
    <w:rsid w:val="00EF707F"/>
    <w:rsid w:val="00F00152"/>
    <w:rsid w:val="00F914C4"/>
    <w:rsid w:val="52DD2394"/>
    <w:rsid w:val="CBCE6A1B"/>
    <w:rsid w:val="CFB79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after="160"/>
      <w:textAlignment w:val="baseline"/>
    </w:pPr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0"/>
    <w:pPr>
      <w:widowControl w:val="0"/>
      <w:kinsoku/>
      <w:autoSpaceDE/>
      <w:autoSpaceDN/>
      <w:adjustRightInd/>
      <w:snapToGrid/>
      <w:spacing w:line="278" w:lineRule="auto"/>
      <w:textAlignment w:val="auto"/>
    </w:pPr>
    <w:rPr>
      <w:rFonts w:ascii="Times New Roman" w:hAnsi="Times New Roman" w:eastAsia="宋体" w:cs="Times New Roman"/>
      <w:snapToGrid/>
      <w:color w:val="auto"/>
      <w:kern w:val="2"/>
      <w:szCs w:val="24"/>
      <w:lang w:eastAsia="zh-CN"/>
    </w:r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8"/>
      <w:szCs w:val="28"/>
    </w:r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kinsoku/>
      <w:autoSpaceDE/>
      <w:autoSpaceDN/>
      <w:adjustRightInd/>
      <w:snapToGrid/>
      <w:spacing w:before="100" w:beforeAutospacing="1" w:after="100" w:afterAutospacing="1"/>
      <w:textAlignment w:val="auto"/>
    </w:pPr>
    <w:rPr>
      <w:rFonts w:ascii="宋体" w:hAnsi="宋体" w:eastAsia="宋体" w:cs="宋体"/>
      <w:snapToGrid/>
      <w:color w:val="auto"/>
      <w:sz w:val="24"/>
      <w:szCs w:val="24"/>
      <w:lang w:eastAsia="zh-CN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pPr>
      <w:widowControl/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Arial" w:hAnsi="Arial" w:cs="Arial" w:eastAsiaTheme="minorEastAsia"/>
      <w:b/>
      <w:bCs/>
      <w:snapToGrid w:val="0"/>
      <w:color w:val="000000"/>
      <w:kern w:val="0"/>
      <w:szCs w:val="21"/>
      <w:lang w:eastAsia="en-US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3">
    <w:name w:val="批注文字 字符"/>
    <w:basedOn w:val="9"/>
    <w:link w:val="2"/>
    <w:qFormat/>
    <w:uiPriority w:val="0"/>
    <w:rPr>
      <w:rFonts w:ascii="Times New Roman" w:hAnsi="Times New Roman" w:eastAsia="宋体" w:cs="Times New Roman"/>
      <w:snapToGrid/>
      <w:color w:val="auto"/>
      <w:kern w:val="2"/>
      <w:szCs w:val="24"/>
      <w:lang w:eastAsia="zh-CN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Times New Roman" w:hAnsi="Times New Roman" w:eastAsia="宋体" w:cs="Times New Roman"/>
      <w:b/>
      <w:bCs/>
      <w:snapToGrid w:val="0"/>
      <w:color w:val="auto"/>
      <w:kern w:val="2"/>
      <w:szCs w:val="24"/>
      <w:lang w:eastAsia="zh-CN"/>
    </w:rPr>
  </w:style>
  <w:style w:type="character" w:customStyle="1" w:styleId="15">
    <w:name w:val="批注框文本 字符"/>
    <w:basedOn w:val="9"/>
    <w:link w:val="4"/>
    <w:semiHidden/>
    <w:qFormat/>
    <w:uiPriority w:val="99"/>
    <w:rPr>
      <w:snapToGrid w:val="0"/>
      <w:color w:val="000000"/>
      <w:sz w:val="18"/>
      <w:szCs w:val="18"/>
      <w:lang w:eastAsia="en-US"/>
    </w:rPr>
  </w:style>
  <w:style w:type="paragraph" w:customStyle="1" w:styleId="16">
    <w:name w:val="Revision"/>
    <w:hidden/>
    <w:unhideWhenUsed/>
    <w:qFormat/>
    <w:uiPriority w:val="99"/>
    <w:rPr>
      <w:rFonts w:ascii="Arial" w:hAnsi="Arial" w:cs="Arial" w:eastAsiaTheme="minorEastAsia"/>
      <w:snapToGrid w:val="0"/>
      <w:color w:val="000000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333</Words>
  <Characters>1900</Characters>
  <Lines>15</Lines>
  <Paragraphs>4</Paragraphs>
  <TotalTime>61</TotalTime>
  <ScaleCrop>false</ScaleCrop>
  <LinksUpToDate>false</LinksUpToDate>
  <CharactersWithSpaces>2229</CharactersWithSpaces>
  <Application>WPS Office_11.8.2.10552_F1E327BC-269C-435d-A152-05C5408002CA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2024-11-12T10:04:00Z</dcterms:created>
  <dc:creator>Kingsoft-PDF</dc:creator>
  <cp:lastModifiedBy>oa</cp:lastModifiedBy>
  <cp:lastPrinted>2024-12-13T13:34:00Z</cp:lastPrinted>
  <dcterms:modified xsi:type="dcterms:W3CDTF">2024-12-18T09:55:08Z</dcterms:modified>
  <dc:subject>pdfbuilder</dc:subject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2024-11-06T19:03:21Z</vt:filetime>
  </property>
  <property fmtid="{D5CDD505-2E9C-101B-9397-08002B2CF9AE}" pid="4" name="UsrData">
    <vt:lpwstr>672b4cf738cd2b0020acfdb8wl</vt:lpwstr>
  </property>
  <property fmtid="{D5CDD505-2E9C-101B-9397-08002B2CF9AE}" pid="5" name="KSOProductBuildVer">
    <vt:lpwstr>2052-11.8.2.10552</vt:lpwstr>
  </property>
  <property fmtid="{D5CDD505-2E9C-101B-9397-08002B2CF9AE}" pid="6" name="ICV">
    <vt:lpwstr>09D1897D0E7D4B35976CE8D8BD91069C_13</vt:lpwstr>
  </property>
</Properties>
</file>