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73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eastAsia="黑体" w:cs="黑体"/>
          <w:bCs/>
          <w:sz w:val="36"/>
          <w:szCs w:val="36"/>
        </w:rPr>
      </w:pPr>
      <w:bookmarkStart w:id="0" w:name="_GoBack"/>
      <w:r>
        <w:rPr>
          <w:rFonts w:hint="eastAsia" w:eastAsia="黑体" w:cs="黑体"/>
          <w:bCs/>
          <w:sz w:val="36"/>
          <w:szCs w:val="36"/>
        </w:rPr>
        <w:t>经营者集中简易案件公示表</w:t>
      </w:r>
    </w:p>
    <w:bookmarkEnd w:id="0"/>
    <w:tbl>
      <w:tblPr>
        <w:tblStyle w:val="5"/>
        <w:tblW w:w="89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438"/>
        <w:gridCol w:w="5633"/>
      </w:tblGrid>
      <w:tr w14:paraId="4BA3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881" w:type="dxa"/>
            <w:shd w:val="clear" w:color="auto" w:fill="auto"/>
            <w:vAlign w:val="center"/>
          </w:tcPr>
          <w:p w14:paraId="7663184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071" w:type="dxa"/>
            <w:gridSpan w:val="2"/>
            <w:vAlign w:val="center"/>
          </w:tcPr>
          <w:p w14:paraId="183C25A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sz w:val="24"/>
                <w:szCs w:val="24"/>
                <w:lang w:val="en-US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bidi="ar-SA"/>
              </w:rPr>
              <w:t>云链数智科技（深圳）有限公司与舟山海洋综合开发投资有限公司新设合营企业案</w:t>
            </w:r>
          </w:p>
        </w:tc>
      </w:tr>
      <w:tr w14:paraId="22C3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1881" w:type="dxa"/>
            <w:shd w:val="clear" w:color="auto" w:fill="auto"/>
            <w:vAlign w:val="center"/>
          </w:tcPr>
          <w:p w14:paraId="1414D988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交易概况（限200字内）</w:t>
            </w:r>
          </w:p>
        </w:tc>
        <w:tc>
          <w:tcPr>
            <w:tcW w:w="7071" w:type="dxa"/>
            <w:gridSpan w:val="2"/>
            <w:vAlign w:val="center"/>
          </w:tcPr>
          <w:p w14:paraId="79E9E325">
            <w:pPr>
              <w:pStyle w:val="7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Autospacing="0" w:line="360" w:lineRule="exact"/>
              <w:ind w:left="0" w:right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云链数智科技（深圳）有限公司（“云链数科”）与舟山海洋综合开发投资有限公司（“海投公司”）签署协议，约定共同新设合营企业。合营企业拟从事国际贸运数字化服务业务。交易后，云链数科和海投公司将分别持有合营企业60%、40%的股份，共同控制合营企业。</w:t>
            </w:r>
          </w:p>
        </w:tc>
      </w:tr>
      <w:tr w14:paraId="1188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1881" w:type="dxa"/>
            <w:vMerge w:val="restart"/>
            <w:shd w:val="clear" w:color="auto" w:fill="auto"/>
            <w:vAlign w:val="center"/>
          </w:tcPr>
          <w:p w14:paraId="7A3A811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参与集中的经营者简介（每个限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438" w:type="dxa"/>
            <w:vAlign w:val="center"/>
          </w:tcPr>
          <w:p w14:paraId="42F4125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val="en-US" w:eastAsia="zh-CN"/>
              </w:rPr>
              <w:t>云链数科</w:t>
            </w:r>
          </w:p>
        </w:tc>
        <w:tc>
          <w:tcPr>
            <w:tcW w:w="5633" w:type="dxa"/>
            <w:vAlign w:val="center"/>
          </w:tcPr>
          <w:p w14:paraId="195BF28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云链数科于2024年8月6日成立于广东省深圳市，主要业务为国际贸运数字化服务。</w:t>
            </w:r>
          </w:p>
          <w:p w14:paraId="1202D5E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云链数科的最终控制人为招商局集团有限公司，主要业务包括综合交通、特色金融、城市与园区综合开发运营三大核心产业以及战略性新兴产业。</w:t>
            </w:r>
          </w:p>
        </w:tc>
      </w:tr>
      <w:tr w14:paraId="6E95C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6EDF756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38" w:type="dxa"/>
            <w:vAlign w:val="center"/>
          </w:tcPr>
          <w:p w14:paraId="779F80AD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val="en-US" w:eastAsia="zh-CN"/>
              </w:rPr>
              <w:t>海投公司</w:t>
            </w:r>
          </w:p>
        </w:tc>
        <w:tc>
          <w:tcPr>
            <w:tcW w:w="5633" w:type="dxa"/>
            <w:vAlign w:val="center"/>
          </w:tcPr>
          <w:p w14:paraId="2F246CD2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sz w:val="24"/>
                <w:szCs w:val="24"/>
                <w:lang w:val="en-US" w:bidi="ar-SA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海投公司于2011年5月24日成立于浙江省舟山市，主要业务为投资，投资领域包括新区战略性投资、石化产业、金融服务、海洋实业等。</w:t>
            </w:r>
          </w:p>
          <w:p w14:paraId="76ECB35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海投公司是舟山市国资委下属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企业</w:t>
            </w:r>
            <w:r>
              <w:rPr>
                <w:rFonts w:hint="eastAsia"/>
                <w:sz w:val="24"/>
                <w:szCs w:val="24"/>
                <w:lang w:val="en-US" w:bidi="ar-SA"/>
              </w:rPr>
              <w:t>。</w:t>
            </w:r>
          </w:p>
        </w:tc>
      </w:tr>
      <w:tr w14:paraId="0C90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81" w:type="dxa"/>
            <w:vMerge w:val="restart"/>
            <w:shd w:val="clear" w:color="auto" w:fill="auto"/>
            <w:vAlign w:val="center"/>
          </w:tcPr>
          <w:p w14:paraId="6474E36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071" w:type="dxa"/>
            <w:gridSpan w:val="2"/>
            <w:vAlign w:val="center"/>
          </w:tcPr>
          <w:p w14:paraId="4476168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14:paraId="1887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2CB58E7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699E1376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31A4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426A4742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2C1C605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39FD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5FA6550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05289B9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824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710A8D10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40249E6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5A76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6A38BEB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372D9E70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995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1881" w:type="dxa"/>
            <w:shd w:val="clear" w:color="auto" w:fill="auto"/>
            <w:vAlign w:val="center"/>
          </w:tcPr>
          <w:p w14:paraId="59712FA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071" w:type="dxa"/>
            <w:gridSpan w:val="2"/>
            <w:vAlign w:val="center"/>
          </w:tcPr>
          <w:p w14:paraId="4299E86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横向重叠：</w:t>
            </w:r>
          </w:p>
          <w:p w14:paraId="4A28DA60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2024年全球国际贸运数字化服务市场：</w:t>
            </w:r>
          </w:p>
          <w:p w14:paraId="2A7DD4ED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云链数科：0-5%，合营企业（预估）：0-5%，各方合计：0-5%</w:t>
            </w:r>
          </w:p>
          <w:p w14:paraId="25D226B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相邻互补：</w:t>
            </w:r>
          </w:p>
          <w:p w14:paraId="75775AD5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年全球干散货远洋运输服务市场：</w:t>
            </w:r>
          </w:p>
          <w:p w14:paraId="20C35B7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云链数科：0-5%</w:t>
            </w:r>
          </w:p>
          <w:p w14:paraId="3F50DFA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年全球液体散货远洋运输服务市场：</w:t>
            </w:r>
          </w:p>
          <w:p w14:paraId="1EDA99B1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云链数科：0-5%</w:t>
            </w:r>
          </w:p>
        </w:tc>
      </w:tr>
    </w:tbl>
    <w:p w14:paraId="75A648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1186C"/>
    <w:rsid w:val="7C01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Body Text First Indent"/>
    <w:qFormat/>
    <w:uiPriority w:val="0"/>
    <w:pPr>
      <w:keepNext w:val="0"/>
      <w:keepLines w:val="0"/>
      <w:widowControl w:val="0"/>
      <w:suppressLineNumbers w:val="0"/>
      <w:spacing w:after="120" w:afterAutospacing="0"/>
      <w:ind w:firstLine="420" w:firstLineChars="100"/>
      <w:jc w:val="both"/>
    </w:pPr>
    <w:rPr>
      <w:rFonts w:hint="default" w:ascii="Times New Roman" w:hAnsi="Times New Roman" w:eastAsia="宋体" w:cs="Times New Roman"/>
      <w:kern w:val="2"/>
      <w:sz w:val="21"/>
      <w:szCs w:val="21"/>
      <w:lang w:val="en-US" w:eastAsia="zh-CN" w:bidi="ar"/>
    </w:rPr>
  </w:style>
  <w:style w:type="paragraph" w:customStyle="1" w:styleId="7">
    <w:name w:val="Table Paragraph"/>
    <w:basedOn w:val="1"/>
    <w:qFormat/>
    <w:uiPriority w:val="1"/>
    <w:pPr>
      <w:widowControl w:val="0"/>
      <w:autoSpaceDE w:val="0"/>
      <w:autoSpaceDN w:val="0"/>
      <w:spacing w:after="0"/>
      <w:jc w:val="left"/>
    </w:pPr>
    <w:rPr>
      <w:rFonts w:ascii="微软雅黑" w:hAnsi="微软雅黑" w:eastAsia="微软雅黑" w:cs="微软雅黑"/>
      <w:sz w:val="22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2025-03-31T03:27:00Z</dcterms:created>
  <dc:creator>胡翌婧</dc:creator>
  <cp:lastModifiedBy>胡翌婧</cp:lastModifiedBy>
  <dcterms:modified xsi:type="dcterms:W3CDTF">2025-03-31T03:27:53Z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62C33A82ECA840738325762928A22A2C_11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