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569D8" w14:textId="2985F819" w:rsidR="00CB00DF" w:rsidRPr="001B5108" w:rsidRDefault="004471FD" w:rsidP="00CB00DF">
      <w:pPr>
        <w:spacing w:line="440" w:lineRule="exact"/>
        <w:jc w:val="center"/>
        <w:rPr>
          <w:rFonts w:ascii="仿宋" w:eastAsia="仿宋" w:hAnsi="仿宋" w:hint="eastAsia"/>
          <w:b/>
          <w:sz w:val="22"/>
        </w:rPr>
      </w:pPr>
      <w:r w:rsidRPr="00D92F35">
        <w:rPr>
          <w:rFonts w:ascii="仿宋" w:eastAsia="仿宋" w:hAnsi="仿宋" w:hint="eastAsia"/>
          <w:b/>
          <w:sz w:val="22"/>
        </w:rPr>
        <w:t xml:space="preserve"> </w:t>
      </w:r>
      <w:r w:rsidR="006944B1" w:rsidRPr="001B5108">
        <w:rPr>
          <w:rFonts w:ascii="黑体" w:eastAsia="黑体" w:hAnsi="黑体" w:hint="eastAsia"/>
          <w:sz w:val="36"/>
          <w:szCs w:val="36"/>
        </w:rPr>
        <w:t>经营者集中简易案件公示表</w:t>
      </w:r>
    </w:p>
    <w:p w14:paraId="2E6A48B4" w14:textId="77777777" w:rsidR="00CB00DF" w:rsidRPr="001B5108" w:rsidRDefault="00CB00DF" w:rsidP="00CB00DF">
      <w:pPr>
        <w:spacing w:line="440" w:lineRule="exact"/>
        <w:rPr>
          <w:rFonts w:ascii="仿宋" w:eastAsia="仿宋" w:hAnsi="仿宋" w:hint="eastAsia"/>
          <w:sz w:val="22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D92F35" w:rsidRPr="001B5108" w14:paraId="68499E61" w14:textId="77777777" w:rsidTr="00CB00DF">
        <w:tc>
          <w:tcPr>
            <w:tcW w:w="1809" w:type="dxa"/>
            <w:shd w:val="clear" w:color="auto" w:fill="D9D9D9"/>
            <w:vAlign w:val="center"/>
          </w:tcPr>
          <w:p w14:paraId="3E73F4F0" w14:textId="77777777" w:rsidR="00CB00DF" w:rsidRPr="001B5108" w:rsidRDefault="00CB00DF" w:rsidP="00C25985">
            <w:pPr>
              <w:jc w:val="center"/>
              <w:rPr>
                <w:rFonts w:ascii="Times New Roman" w:hAnsi="Times New Roman"/>
                <w:b/>
                <w:kern w:val="0"/>
                <w:sz w:val="24"/>
                <w:szCs w:val="24"/>
                <w:bdr w:val="none" w:sz="0" w:space="0" w:color="auto" w:frame="1"/>
              </w:rPr>
            </w:pPr>
            <w:r w:rsidRPr="001B5108">
              <w:rPr>
                <w:rFonts w:ascii="Times New Roman" w:hAnsi="Times New Roman"/>
                <w:b/>
                <w:kern w:val="0"/>
                <w:sz w:val="24"/>
                <w:szCs w:val="24"/>
                <w:bdr w:val="none" w:sz="0" w:space="0" w:color="auto" w:frame="1"/>
              </w:rPr>
              <w:t>案件名称</w:t>
            </w:r>
          </w:p>
        </w:tc>
        <w:tc>
          <w:tcPr>
            <w:tcW w:w="6949" w:type="dxa"/>
            <w:gridSpan w:val="2"/>
          </w:tcPr>
          <w:p w14:paraId="018862F9" w14:textId="27881826" w:rsidR="00CB00DF" w:rsidRPr="001B5108" w:rsidRDefault="003C6DCD" w:rsidP="00C25985">
            <w:pPr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1B5108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阿波罗资本管理有限合伙企业</w:t>
            </w:r>
            <w:r w:rsidR="003847FE" w:rsidRPr="001B5108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与加拿大养老金计划投资委员会收购</w:t>
            </w:r>
            <w:r w:rsidR="003847FE" w:rsidRPr="001B5108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Pactiv Evergreen Inc.</w:t>
            </w:r>
            <w:r w:rsidR="003847FE" w:rsidRPr="001B5108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等两家公司股权案</w:t>
            </w:r>
          </w:p>
        </w:tc>
      </w:tr>
      <w:tr w:rsidR="00D92F35" w:rsidRPr="001B5108" w14:paraId="1C43FA27" w14:textId="77777777" w:rsidTr="00CB00DF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14:paraId="6B4DEAB8" w14:textId="77777777" w:rsidR="00F1624E" w:rsidRPr="001B5108" w:rsidRDefault="00CB00DF" w:rsidP="00C25985">
            <w:pPr>
              <w:jc w:val="center"/>
              <w:rPr>
                <w:rFonts w:ascii="Times New Roman" w:hAnsi="Times New Roman"/>
                <w:b/>
                <w:kern w:val="0"/>
                <w:sz w:val="24"/>
                <w:szCs w:val="24"/>
                <w:bdr w:val="none" w:sz="0" w:space="0" w:color="auto" w:frame="1"/>
              </w:rPr>
            </w:pPr>
            <w:r w:rsidRPr="001B5108">
              <w:rPr>
                <w:rFonts w:ascii="Times New Roman" w:hAnsi="Times New Roman"/>
                <w:b/>
                <w:kern w:val="0"/>
                <w:sz w:val="24"/>
                <w:szCs w:val="24"/>
                <w:bdr w:val="none" w:sz="0" w:space="0" w:color="auto" w:frame="1"/>
              </w:rPr>
              <w:t>交易概况</w:t>
            </w:r>
          </w:p>
          <w:p w14:paraId="27328756" w14:textId="77777777" w:rsidR="00CB00DF" w:rsidRPr="001B5108" w:rsidRDefault="00CB00DF" w:rsidP="00C25985">
            <w:pPr>
              <w:jc w:val="center"/>
              <w:rPr>
                <w:rFonts w:ascii="Times New Roman" w:hAnsi="Times New Roman"/>
                <w:b/>
                <w:kern w:val="0"/>
                <w:sz w:val="24"/>
                <w:szCs w:val="24"/>
                <w:bdr w:val="none" w:sz="0" w:space="0" w:color="auto" w:frame="1"/>
              </w:rPr>
            </w:pPr>
            <w:r w:rsidRPr="001B5108">
              <w:rPr>
                <w:rFonts w:ascii="Times New Roman" w:hAnsi="Times New Roman"/>
                <w:b/>
                <w:kern w:val="0"/>
                <w:sz w:val="24"/>
                <w:szCs w:val="24"/>
                <w:bdr w:val="none" w:sz="0" w:space="0" w:color="auto" w:frame="1"/>
              </w:rPr>
              <w:t>（限</w:t>
            </w:r>
            <w:r w:rsidRPr="001B5108">
              <w:rPr>
                <w:rFonts w:ascii="Times New Roman" w:hAnsi="Times New Roman"/>
                <w:b/>
                <w:kern w:val="0"/>
                <w:sz w:val="24"/>
                <w:szCs w:val="24"/>
                <w:bdr w:val="none" w:sz="0" w:space="0" w:color="auto" w:frame="1"/>
              </w:rPr>
              <w:t>200</w:t>
            </w:r>
            <w:r w:rsidRPr="001B5108">
              <w:rPr>
                <w:rFonts w:ascii="Times New Roman" w:hAnsi="Times New Roman"/>
                <w:b/>
                <w:kern w:val="0"/>
                <w:sz w:val="24"/>
                <w:szCs w:val="24"/>
                <w:bdr w:val="none" w:sz="0" w:space="0" w:color="auto" w:frame="1"/>
              </w:rPr>
              <w:t>字内）</w:t>
            </w:r>
          </w:p>
        </w:tc>
        <w:tc>
          <w:tcPr>
            <w:tcW w:w="6949" w:type="dxa"/>
            <w:gridSpan w:val="2"/>
          </w:tcPr>
          <w:p w14:paraId="7474D71D" w14:textId="14E5D4E2" w:rsidR="000800E3" w:rsidRPr="001B5108" w:rsidRDefault="005D405B" w:rsidP="00ED2F37">
            <w:pPr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1B5108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根据</w:t>
            </w:r>
            <w:r w:rsidRPr="001B5108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2024</w:t>
            </w:r>
            <w:r w:rsidRPr="001B5108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 w:rsidRPr="001B5108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12</w:t>
            </w:r>
            <w:r w:rsidRPr="001B5108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月</w:t>
            </w:r>
            <w:r w:rsidRPr="001B5108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9</w:t>
            </w:r>
            <w:r w:rsidRPr="001B5108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日签署的合并协议与计划，</w:t>
            </w:r>
            <w:r w:rsidR="00CC50A4" w:rsidRPr="001B5108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本次交易涉及</w:t>
            </w:r>
            <w:r w:rsidR="00210E54" w:rsidRPr="001B5108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两个部分，</w:t>
            </w:r>
            <w:r w:rsidR="006A77D3" w:rsidRPr="001B5108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（</w:t>
            </w:r>
            <w:r w:rsidR="006A77D3" w:rsidRPr="001B5108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 w:rsidR="006A77D3" w:rsidRPr="001B5108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）</w:t>
            </w:r>
            <w:proofErr w:type="spellStart"/>
            <w:r w:rsidR="00CC50A4" w:rsidRPr="001B5108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Novolex</w:t>
            </w:r>
            <w:proofErr w:type="spellEnd"/>
            <w:r w:rsidR="00CC50A4" w:rsidRPr="001B5108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 xml:space="preserve"> Holdings, LLC</w:t>
            </w:r>
            <w:r w:rsidR="00CC50A4" w:rsidRPr="001B5108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（“</w:t>
            </w:r>
            <w:proofErr w:type="spellStart"/>
            <w:r w:rsidR="00CC50A4" w:rsidRPr="001B5108">
              <w:rPr>
                <w:rFonts w:ascii="Times New Roman" w:hAnsi="Times New Roman" w:hint="eastAsia"/>
                <w:b/>
                <w:bCs/>
                <w:kern w:val="0"/>
                <w:sz w:val="24"/>
                <w:szCs w:val="24"/>
                <w:bdr w:val="none" w:sz="0" w:space="0" w:color="auto" w:frame="1"/>
              </w:rPr>
              <w:t>Novolex</w:t>
            </w:r>
            <w:proofErr w:type="spellEnd"/>
            <w:r w:rsidR="00CC50A4" w:rsidRPr="001B5108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”，由阿波罗全球管理公司</w:t>
            </w:r>
            <w:r w:rsidR="00AF7EA3" w:rsidRPr="001B5108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关联公司管理的投资基金</w:t>
            </w:r>
            <w:r w:rsidR="005A5101" w:rsidRPr="001B5108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间接</w:t>
            </w:r>
            <w:r w:rsidR="00AF7EA3" w:rsidRPr="001B5108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控制</w:t>
            </w:r>
            <w:r w:rsidR="00FC638C" w:rsidRPr="001B5108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，</w:t>
            </w:r>
            <w:r w:rsidR="00AF7EA3" w:rsidRPr="001B5108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阿波罗全球管理公司</w:t>
            </w:r>
            <w:r w:rsidR="005A5101" w:rsidRPr="001B5108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连同其从事管理投资基金的间接子公司合称为“</w:t>
            </w:r>
            <w:r w:rsidR="005A5101" w:rsidRPr="001B5108">
              <w:rPr>
                <w:rFonts w:ascii="Times New Roman" w:hAnsi="Times New Roman" w:hint="eastAsia"/>
                <w:b/>
                <w:bCs/>
                <w:kern w:val="0"/>
                <w:sz w:val="24"/>
                <w:szCs w:val="24"/>
                <w:bdr w:val="none" w:sz="0" w:space="0" w:color="auto" w:frame="1"/>
              </w:rPr>
              <w:t>阿波罗</w:t>
            </w:r>
            <w:r w:rsidR="005A5101" w:rsidRPr="001B5108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”，与阿波罗的关联公司所管理的投资基金合称为“</w:t>
            </w:r>
            <w:r w:rsidR="005A5101" w:rsidRPr="001B5108">
              <w:rPr>
                <w:rFonts w:ascii="Times New Roman" w:hAnsi="Times New Roman" w:hint="eastAsia"/>
                <w:b/>
                <w:bCs/>
                <w:kern w:val="0"/>
                <w:sz w:val="24"/>
                <w:szCs w:val="24"/>
                <w:bdr w:val="none" w:sz="0" w:space="0" w:color="auto" w:frame="1"/>
              </w:rPr>
              <w:t>阿波罗基金</w:t>
            </w:r>
            <w:r w:rsidR="005A5101" w:rsidRPr="001B5108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”</w:t>
            </w:r>
            <w:r w:rsidR="00CC50A4" w:rsidRPr="001B5108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）</w:t>
            </w:r>
            <w:r w:rsidR="00AF7EA3" w:rsidRPr="001B5108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通过其直接控制的全资子公司与</w:t>
            </w:r>
            <w:r w:rsidR="00AF7EA3" w:rsidRPr="001B5108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Pactiv Evergreen Inc.</w:t>
            </w:r>
            <w:r w:rsidR="00AF7EA3" w:rsidRPr="001B5108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（“</w:t>
            </w:r>
            <w:r w:rsidR="00AF7EA3" w:rsidRPr="001B5108">
              <w:rPr>
                <w:rFonts w:ascii="Times New Roman" w:hAnsi="Times New Roman" w:hint="eastAsia"/>
                <w:b/>
                <w:bCs/>
                <w:kern w:val="0"/>
                <w:sz w:val="24"/>
                <w:szCs w:val="24"/>
                <w:bdr w:val="none" w:sz="0" w:space="0" w:color="auto" w:frame="1"/>
              </w:rPr>
              <w:t>Pactiv</w:t>
            </w:r>
            <w:r w:rsidR="00AF7EA3" w:rsidRPr="001B5108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”）的合并</w:t>
            </w:r>
            <w:r w:rsidR="00FC638C" w:rsidRPr="001B5108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完成</w:t>
            </w:r>
            <w:r w:rsidR="00AF7EA3" w:rsidRPr="001B5108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对</w:t>
            </w:r>
            <w:r w:rsidR="00AF7EA3" w:rsidRPr="001B5108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Pactiv</w:t>
            </w:r>
            <w:r w:rsidR="00AF7EA3" w:rsidRPr="001B5108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的</w:t>
            </w:r>
            <w:r w:rsidR="00E0303C" w:rsidRPr="001B5108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100%</w:t>
            </w:r>
            <w:r w:rsidR="00E0303C" w:rsidRPr="001B5108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股权的</w:t>
            </w:r>
            <w:r w:rsidR="00AF7EA3" w:rsidRPr="001B5108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收购，</w:t>
            </w:r>
            <w:r w:rsidR="00E0303C" w:rsidRPr="001B5108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已完成对</w:t>
            </w:r>
            <w:r w:rsidR="00E0303C" w:rsidRPr="001B5108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Pactiv</w:t>
            </w:r>
            <w:r w:rsidR="00E0303C" w:rsidRPr="001B5108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股权收购后的</w:t>
            </w:r>
            <w:proofErr w:type="spellStart"/>
            <w:r w:rsidR="00E0303C" w:rsidRPr="001B5108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Novolex</w:t>
            </w:r>
            <w:proofErr w:type="spellEnd"/>
            <w:r w:rsidR="00E0303C" w:rsidRPr="001B5108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称为“</w:t>
            </w:r>
            <w:r w:rsidR="00E0303C" w:rsidRPr="001B5108">
              <w:rPr>
                <w:rFonts w:ascii="Times New Roman" w:hAnsi="Times New Roman" w:hint="eastAsia"/>
                <w:b/>
                <w:bCs/>
                <w:kern w:val="0"/>
                <w:sz w:val="24"/>
                <w:szCs w:val="24"/>
                <w:bdr w:val="none" w:sz="0" w:space="0" w:color="auto" w:frame="1"/>
              </w:rPr>
              <w:t>合并后实体</w:t>
            </w:r>
            <w:r w:rsidR="00E0303C" w:rsidRPr="001B5108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”，</w:t>
            </w:r>
            <w:r w:rsidR="00AF7EA3" w:rsidRPr="001B5108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以及</w:t>
            </w:r>
            <w:r w:rsidR="00827C8E" w:rsidRPr="001B5108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（</w:t>
            </w:r>
            <w:r w:rsidR="00827C8E" w:rsidRPr="001B5108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 w:rsidR="00827C8E" w:rsidRPr="001B5108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）</w:t>
            </w:r>
            <w:r w:rsidR="00AF7EA3" w:rsidRPr="001B5108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加拿大养老金计划投资委员会</w:t>
            </w:r>
            <w:r w:rsidR="00E0303C" w:rsidRPr="001B5108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通过注资方式实现对合并后实体</w:t>
            </w:r>
            <w:r w:rsidR="00AF7EA3" w:rsidRPr="001B5108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共同控制权的收购。</w:t>
            </w:r>
            <w:r w:rsidR="00E0303C" w:rsidRPr="001B5108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以上两步同步进行并且互为条件，</w:t>
            </w:r>
            <w:r w:rsidR="00F6703A" w:rsidRPr="001B5108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因此，在本次交易完成后，阿波罗</w:t>
            </w:r>
            <w:r w:rsidR="00C26493" w:rsidRPr="001B5108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基金</w:t>
            </w:r>
            <w:r w:rsidR="00F6703A" w:rsidRPr="001B5108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和加拿大养老金计划投资委员将间接、共同控制</w:t>
            </w:r>
            <w:r w:rsidR="00E0303C" w:rsidRPr="001B5108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合并后实体</w:t>
            </w:r>
            <w:r w:rsidR="00F6703A" w:rsidRPr="001B5108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  <w:p w14:paraId="6D7AA3FA" w14:textId="77777777" w:rsidR="000800E3" w:rsidRPr="001B5108" w:rsidRDefault="000800E3" w:rsidP="00ED2F37">
            <w:pPr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</w:pPr>
          </w:p>
          <w:p w14:paraId="4C56D889" w14:textId="14ED1A45" w:rsidR="00196623" w:rsidRPr="001B5108" w:rsidRDefault="005D405B" w:rsidP="00ED2F37">
            <w:pPr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1B5108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本次交易的金额约为</w:t>
            </w:r>
            <w:r w:rsidRPr="001B5108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230</w:t>
            </w:r>
            <w:r w:rsidRPr="001B5108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亿元人民币。</w:t>
            </w:r>
            <w:proofErr w:type="spellStart"/>
            <w:r w:rsidR="009733C7" w:rsidRPr="001B5108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Novolex</w:t>
            </w:r>
            <w:proofErr w:type="spellEnd"/>
            <w:r w:rsidR="009733C7" w:rsidRPr="001B5108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和</w:t>
            </w:r>
            <w:r w:rsidR="00AF7EA3" w:rsidRPr="001B5108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Pactiv</w:t>
            </w:r>
            <w:r w:rsidR="00AF7EA3" w:rsidRPr="001B5108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主要从事包装业务。</w:t>
            </w:r>
          </w:p>
          <w:p w14:paraId="063A1CEA" w14:textId="77777777" w:rsidR="00CC50A4" w:rsidRPr="001B5108" w:rsidRDefault="00CC50A4" w:rsidP="00ED2F37">
            <w:pPr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</w:pPr>
          </w:p>
          <w:p w14:paraId="65B2ED3C" w14:textId="2E322DDE" w:rsidR="008D4276" w:rsidRPr="001B5108" w:rsidRDefault="00E54B19" w:rsidP="00ED2F37">
            <w:pPr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1B5108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在本次交易</w:t>
            </w:r>
            <w:r w:rsidRPr="001B5108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前，</w:t>
            </w:r>
            <w:r w:rsidR="003847FE" w:rsidRPr="001B5108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（</w:t>
            </w:r>
            <w:r w:rsidR="003847FE" w:rsidRPr="001B5108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 w:rsidR="003847FE" w:rsidRPr="001B5108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）</w:t>
            </w:r>
            <w:r w:rsidR="005D405B" w:rsidRPr="001B5108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Packaging Finance Limited</w:t>
            </w:r>
            <w:r w:rsidR="003847FE" w:rsidRPr="001B5108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持有</w:t>
            </w:r>
            <w:r w:rsidR="003847FE" w:rsidRPr="001B5108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Pactiv 76.38%</w:t>
            </w:r>
            <w:r w:rsidR="003847FE" w:rsidRPr="001B5108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股权</w:t>
            </w:r>
            <w:r w:rsidR="00AD3FE1" w:rsidRPr="001B5108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单独控制</w:t>
            </w:r>
            <w:r w:rsidR="00AD3FE1" w:rsidRPr="001B5108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Pactiv</w:t>
            </w:r>
            <w:r w:rsidR="00AD3FE1" w:rsidRPr="001B5108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；</w:t>
            </w:r>
            <w:r w:rsidR="003847FE" w:rsidRPr="001B5108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（</w:t>
            </w:r>
            <w:r w:rsidR="003847FE" w:rsidRPr="001B5108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 w:rsidR="003847FE" w:rsidRPr="001B5108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）</w:t>
            </w:r>
            <w:r w:rsidR="004863DB" w:rsidRPr="001B5108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阿波罗基金</w:t>
            </w:r>
            <w:r w:rsidR="003847FE" w:rsidRPr="001B5108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间接持有</w:t>
            </w:r>
            <w:proofErr w:type="spellStart"/>
            <w:r w:rsidR="003847FE" w:rsidRPr="001B5108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Novolex</w:t>
            </w:r>
            <w:proofErr w:type="spellEnd"/>
            <w:r w:rsidR="003847FE" w:rsidRPr="001B5108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 xml:space="preserve"> 100%</w:t>
            </w:r>
            <w:r w:rsidR="003847FE" w:rsidRPr="001B5108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股权</w:t>
            </w:r>
            <w:r w:rsidR="004863DB" w:rsidRPr="001B5108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单独控制</w:t>
            </w:r>
            <w:proofErr w:type="spellStart"/>
            <w:r w:rsidR="00295C41" w:rsidRPr="001B5108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Novolex</w:t>
            </w:r>
            <w:proofErr w:type="spellEnd"/>
            <w:r w:rsidR="00A809F5" w:rsidRPr="001B5108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。</w:t>
            </w:r>
            <w:r w:rsidRPr="001B5108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在本次</w:t>
            </w:r>
            <w:r w:rsidRPr="001B5108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交易完成后，</w:t>
            </w:r>
            <w:r w:rsidR="002320E6" w:rsidRPr="001B5108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（</w:t>
            </w:r>
            <w:r w:rsidR="002320E6" w:rsidRPr="001B5108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 w:rsidR="002320E6" w:rsidRPr="001B5108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）</w:t>
            </w:r>
            <w:r w:rsidR="00AF7EA3" w:rsidRPr="001B5108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阿波罗</w:t>
            </w:r>
            <w:r w:rsidR="00973928" w:rsidRPr="001B5108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基金</w:t>
            </w:r>
            <w:r w:rsidR="00AF7EA3" w:rsidRPr="001B5108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和加拿大养老金计划投资委员会将</w:t>
            </w:r>
            <w:r w:rsidR="00AD3FE1" w:rsidRPr="001B5108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分别持有</w:t>
            </w:r>
            <w:proofErr w:type="spellStart"/>
            <w:r w:rsidR="003847FE" w:rsidRPr="001B5108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Novolex</w:t>
            </w:r>
            <w:proofErr w:type="spellEnd"/>
            <w:r w:rsidR="00AD3FE1" w:rsidRPr="001B5108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约</w:t>
            </w:r>
            <w:r w:rsidR="00AD3FE1" w:rsidRPr="001B5108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65.5%</w:t>
            </w:r>
            <w:r w:rsidR="00AD3FE1" w:rsidRPr="001B5108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和</w:t>
            </w:r>
            <w:r w:rsidR="00AD3FE1" w:rsidRPr="001B5108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24.5%</w:t>
            </w:r>
            <w:r w:rsidR="00AD3FE1" w:rsidRPr="001B5108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的股权</w:t>
            </w:r>
            <w:r w:rsidR="003847FE" w:rsidRPr="001B5108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共同控制</w:t>
            </w:r>
            <w:proofErr w:type="spellStart"/>
            <w:r w:rsidR="003847FE" w:rsidRPr="001B5108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Novolex</w:t>
            </w:r>
            <w:proofErr w:type="spellEnd"/>
            <w:r w:rsidR="00AD3FE1" w:rsidRPr="001B5108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，</w:t>
            </w:r>
            <w:r w:rsidR="003847FE" w:rsidRPr="001B5108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以及</w:t>
            </w:r>
            <w:r w:rsidR="002320E6" w:rsidRPr="001B5108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（</w:t>
            </w:r>
            <w:r w:rsidR="002320E6" w:rsidRPr="001B5108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 w:rsidR="002320E6" w:rsidRPr="001B5108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）由于</w:t>
            </w:r>
            <w:proofErr w:type="spellStart"/>
            <w:r w:rsidR="002320E6" w:rsidRPr="001B5108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Novolex</w:t>
            </w:r>
            <w:proofErr w:type="spellEnd"/>
            <w:r w:rsidR="002320E6" w:rsidRPr="001B5108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将持有</w:t>
            </w:r>
            <w:r w:rsidR="002320E6" w:rsidRPr="001B5108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Pactiv 100%</w:t>
            </w:r>
            <w:r w:rsidR="002320E6" w:rsidRPr="001B5108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股权，阿波罗基金和加拿大养老金计划投资委员会将</w:t>
            </w:r>
            <w:r w:rsidR="003C6DCD" w:rsidRPr="001B5108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通过</w:t>
            </w:r>
            <w:proofErr w:type="spellStart"/>
            <w:r w:rsidR="003C6DCD" w:rsidRPr="001B5108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Novolex</w:t>
            </w:r>
            <w:proofErr w:type="spellEnd"/>
            <w:r w:rsidR="003847FE" w:rsidRPr="001B5108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间接</w:t>
            </w:r>
            <w:r w:rsidR="00AF7EA3" w:rsidRPr="001B5108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共同控制</w:t>
            </w:r>
            <w:r w:rsidR="003847FE" w:rsidRPr="001B5108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Pactiv</w:t>
            </w:r>
            <w:r w:rsidR="00AF62B1" w:rsidRPr="001B5108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5D1E98" w:rsidRPr="001B5108" w14:paraId="6CD8F979" w14:textId="77777777" w:rsidTr="00CB00DF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4CF81F5F" w14:textId="77777777" w:rsidR="005D1E98" w:rsidRPr="001B5108" w:rsidRDefault="005D1E98" w:rsidP="000A319E">
            <w:pPr>
              <w:jc w:val="center"/>
              <w:rPr>
                <w:rFonts w:ascii="Times New Roman" w:hAnsi="Times New Roman"/>
                <w:b/>
                <w:kern w:val="0"/>
                <w:sz w:val="24"/>
                <w:szCs w:val="24"/>
                <w:bdr w:val="none" w:sz="0" w:space="0" w:color="auto" w:frame="1"/>
              </w:rPr>
            </w:pPr>
            <w:r w:rsidRPr="001B5108">
              <w:rPr>
                <w:rFonts w:ascii="Times New Roman" w:hAnsi="Times New Roman"/>
                <w:b/>
                <w:kern w:val="0"/>
                <w:sz w:val="24"/>
                <w:szCs w:val="24"/>
                <w:bdr w:val="none" w:sz="0" w:space="0" w:color="auto" w:frame="1"/>
              </w:rPr>
              <w:t>参与集中的</w:t>
            </w:r>
          </w:p>
          <w:p w14:paraId="2C7BA564" w14:textId="65D86F87" w:rsidR="005D1E98" w:rsidRPr="001B5108" w:rsidRDefault="005D1E98" w:rsidP="000A319E">
            <w:pPr>
              <w:jc w:val="center"/>
              <w:rPr>
                <w:rFonts w:ascii="Times New Roman" w:hAnsi="Times New Roman"/>
                <w:b/>
                <w:kern w:val="0"/>
                <w:sz w:val="24"/>
                <w:szCs w:val="24"/>
                <w:bdr w:val="none" w:sz="0" w:space="0" w:color="auto" w:frame="1"/>
              </w:rPr>
            </w:pPr>
            <w:r w:rsidRPr="001B5108">
              <w:rPr>
                <w:rFonts w:ascii="Times New Roman" w:hAnsi="Times New Roman"/>
                <w:b/>
                <w:kern w:val="0"/>
                <w:sz w:val="24"/>
                <w:szCs w:val="24"/>
                <w:bdr w:val="none" w:sz="0" w:space="0" w:color="auto" w:frame="1"/>
              </w:rPr>
              <w:t>经营者简介</w:t>
            </w:r>
          </w:p>
        </w:tc>
        <w:tc>
          <w:tcPr>
            <w:tcW w:w="1796" w:type="dxa"/>
          </w:tcPr>
          <w:p w14:paraId="1E84BBA1" w14:textId="382B56D7" w:rsidR="005D1E98" w:rsidRPr="001B5108" w:rsidRDefault="00374561" w:rsidP="008B0B20">
            <w:pPr>
              <w:pStyle w:val="af0"/>
              <w:numPr>
                <w:ilvl w:val="0"/>
                <w:numId w:val="5"/>
              </w:numPr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1B5108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阿波罗资本管理有限合伙企业</w:t>
            </w:r>
          </w:p>
        </w:tc>
        <w:tc>
          <w:tcPr>
            <w:tcW w:w="5153" w:type="dxa"/>
          </w:tcPr>
          <w:p w14:paraId="487F5CA2" w14:textId="218BE998" w:rsidR="00374561" w:rsidRPr="001B5108" w:rsidRDefault="00374561" w:rsidP="00374561">
            <w:pPr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1B5108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阿波罗资本管理有限合伙企业于</w:t>
            </w:r>
            <w:r w:rsidRPr="001B5108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2004</w:t>
            </w:r>
            <w:r w:rsidRPr="001B5108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 w:rsidRPr="001B5108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 w:rsidRPr="001B5108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月</w:t>
            </w:r>
            <w:r w:rsidRPr="001B5108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30</w:t>
            </w:r>
            <w:r w:rsidRPr="001B5108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日在美国特拉华州成立。阿波罗资本管理有限合伙企业，及其合并关联实体主要从事包括资产管理、退休服务和资本投资等全球另类资产管理业务。</w:t>
            </w:r>
            <w:r w:rsidR="008005A0" w:rsidRPr="001B5108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其单独控制的</w:t>
            </w:r>
            <w:proofErr w:type="spellStart"/>
            <w:r w:rsidR="008005A0" w:rsidRPr="001B5108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Novolex</w:t>
            </w:r>
            <w:proofErr w:type="spellEnd"/>
            <w:r w:rsidR="008005A0" w:rsidRPr="001B5108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于</w:t>
            </w:r>
            <w:r w:rsidR="008005A0" w:rsidRPr="001B5108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2017</w:t>
            </w:r>
            <w:r w:rsidR="008005A0" w:rsidRPr="001B5108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 w:rsidR="008005A0" w:rsidRPr="001B5108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6</w:t>
            </w:r>
            <w:r w:rsidR="008005A0" w:rsidRPr="001B5108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月</w:t>
            </w:r>
            <w:r w:rsidR="008005A0" w:rsidRPr="001B5108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29</w:t>
            </w:r>
            <w:r w:rsidR="008005A0" w:rsidRPr="001B5108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日成立于美国。</w:t>
            </w:r>
            <w:proofErr w:type="spellStart"/>
            <w:r w:rsidR="008005A0" w:rsidRPr="001B5108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Novolex</w:t>
            </w:r>
            <w:proofErr w:type="spellEnd"/>
            <w:r w:rsidR="008005A0" w:rsidRPr="001B5108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主要从事多样化包装产品的研发和生产。</w:t>
            </w:r>
          </w:p>
          <w:p w14:paraId="5911875F" w14:textId="77777777" w:rsidR="00374561" w:rsidRPr="001B5108" w:rsidRDefault="00374561" w:rsidP="00374561">
            <w:pPr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</w:pPr>
          </w:p>
          <w:p w14:paraId="651EE235" w14:textId="7FB161F0" w:rsidR="005D1E98" w:rsidRPr="001B5108" w:rsidRDefault="00374561" w:rsidP="00374561">
            <w:pPr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1B5108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阿波罗资本管理有限合伙企业的最终控制人为阿波罗全球管理公司，其为一家总部位于美国的</w:t>
            </w:r>
            <w:r w:rsidR="005A5101" w:rsidRPr="001B5108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、服务于个人和机构投资者的</w:t>
            </w:r>
            <w:r w:rsidRPr="001B5108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高增长全球另类资产管理经理人及退休服务提供者。</w:t>
            </w:r>
          </w:p>
        </w:tc>
      </w:tr>
      <w:tr w:rsidR="005D1E98" w:rsidRPr="001B5108" w14:paraId="5EC3C720" w14:textId="77777777" w:rsidTr="00CB00DF">
        <w:trPr>
          <w:trHeight w:val="468"/>
        </w:trPr>
        <w:tc>
          <w:tcPr>
            <w:tcW w:w="1809" w:type="dxa"/>
            <w:vMerge/>
            <w:shd w:val="clear" w:color="auto" w:fill="D9D9D9"/>
            <w:vAlign w:val="center"/>
          </w:tcPr>
          <w:p w14:paraId="727A41AD" w14:textId="37121D3B" w:rsidR="005D1E98" w:rsidRPr="001B5108" w:rsidRDefault="005D1E98" w:rsidP="000A319E">
            <w:pPr>
              <w:jc w:val="center"/>
              <w:rPr>
                <w:rFonts w:ascii="Times New Roman" w:hAnsi="Times New Roman"/>
                <w:b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14:paraId="57367093" w14:textId="6EFE436E" w:rsidR="005D1E98" w:rsidRPr="001B5108" w:rsidRDefault="005D1E98" w:rsidP="005D1E98">
            <w:pPr>
              <w:pStyle w:val="af0"/>
              <w:numPr>
                <w:ilvl w:val="0"/>
                <w:numId w:val="5"/>
              </w:numPr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1B5108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加拿大养老金计划投资委员会</w:t>
            </w:r>
          </w:p>
        </w:tc>
        <w:tc>
          <w:tcPr>
            <w:tcW w:w="5153" w:type="dxa"/>
          </w:tcPr>
          <w:p w14:paraId="2B6DBDE3" w14:textId="77777777" w:rsidR="005D1E98" w:rsidRPr="001B5108" w:rsidRDefault="005D1E98" w:rsidP="005D1E98">
            <w:pPr>
              <w:widowControl/>
              <w:snapToGrid w:val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B5108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加拿大养老金计划投资委员会</w:t>
            </w:r>
            <w:r w:rsidRPr="001B5108">
              <w:rPr>
                <w:rFonts w:ascii="Times New Roman" w:hAnsi="Times New Roman" w:hint="eastAsia"/>
                <w:sz w:val="24"/>
                <w:szCs w:val="24"/>
              </w:rPr>
              <w:t>于</w:t>
            </w:r>
            <w:r w:rsidRPr="001B5108">
              <w:rPr>
                <w:rFonts w:ascii="Times New Roman" w:hAnsi="Times New Roman" w:hint="eastAsia"/>
                <w:sz w:val="24"/>
                <w:szCs w:val="24"/>
              </w:rPr>
              <w:t>1997</w:t>
            </w:r>
            <w:r w:rsidRPr="001B5108">
              <w:rPr>
                <w:rFonts w:ascii="Times New Roman" w:hAnsi="Times New Roman" w:hint="eastAsia"/>
                <w:sz w:val="24"/>
                <w:szCs w:val="24"/>
              </w:rPr>
              <w:t>年</w:t>
            </w:r>
            <w:r w:rsidRPr="001B5108">
              <w:rPr>
                <w:rFonts w:ascii="Times New Roman" w:hAnsi="Times New Roman" w:hint="eastAsia"/>
                <w:sz w:val="24"/>
                <w:szCs w:val="24"/>
              </w:rPr>
              <w:t>12</w:t>
            </w:r>
            <w:r w:rsidRPr="001B5108">
              <w:rPr>
                <w:rFonts w:ascii="Times New Roman" w:hAnsi="Times New Roman" w:hint="eastAsia"/>
                <w:sz w:val="24"/>
                <w:szCs w:val="24"/>
              </w:rPr>
              <w:t>月</w:t>
            </w:r>
            <w:r w:rsidRPr="001B5108">
              <w:rPr>
                <w:rFonts w:ascii="Times New Roman" w:hAnsi="Times New Roman" w:hint="eastAsia"/>
                <w:sz w:val="24"/>
                <w:szCs w:val="24"/>
              </w:rPr>
              <w:t>18</w:t>
            </w:r>
            <w:r w:rsidRPr="001B5108">
              <w:rPr>
                <w:rFonts w:ascii="Times New Roman" w:hAnsi="Times New Roman" w:hint="eastAsia"/>
                <w:sz w:val="24"/>
                <w:szCs w:val="24"/>
              </w:rPr>
              <w:t>日成立于加拿大，为</w:t>
            </w:r>
            <w:r w:rsidRPr="001B5108">
              <w:rPr>
                <w:rFonts w:ascii="Times New Roman" w:hAnsi="Times New Roman" w:hint="eastAsia"/>
                <w:sz w:val="24"/>
                <w:szCs w:val="24"/>
              </w:rPr>
              <w:t>1997</w:t>
            </w:r>
            <w:r w:rsidRPr="001B5108">
              <w:rPr>
                <w:rFonts w:ascii="Times New Roman" w:hAnsi="Times New Roman" w:hint="eastAsia"/>
                <w:sz w:val="24"/>
                <w:szCs w:val="24"/>
              </w:rPr>
              <w:t>年根据《加拿大养老金计划投资委员会法》成立的加拿大联邦国家企业。</w:t>
            </w:r>
            <w:r w:rsidRPr="001B5108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加拿大养老金计划投资委员会</w:t>
            </w:r>
            <w:r w:rsidRPr="001B5108">
              <w:rPr>
                <w:rFonts w:ascii="Times New Roman" w:hAnsi="Times New Roman"/>
                <w:sz w:val="24"/>
                <w:szCs w:val="24"/>
                <w:lang w:val="en-GB"/>
              </w:rPr>
              <w:t>是一家专业</w:t>
            </w:r>
            <w:r w:rsidRPr="001B5108">
              <w:rPr>
                <w:rFonts w:ascii="Times New Roman" w:hAnsi="Times New Roman"/>
                <w:sz w:val="24"/>
                <w:szCs w:val="24"/>
                <w:lang w:val="en-GB"/>
              </w:rPr>
              <w:lastRenderedPageBreak/>
              <w:t>投资管理机构，</w:t>
            </w:r>
            <w:r w:rsidRPr="001B5108">
              <w:rPr>
                <w:rFonts w:ascii="Times New Roman" w:hAnsi="Times New Roman" w:hint="eastAsia"/>
                <w:sz w:val="24"/>
                <w:szCs w:val="24"/>
                <w:lang w:val="en-GB"/>
              </w:rPr>
              <w:t>代表</w:t>
            </w:r>
            <w:r w:rsidRPr="001B5108">
              <w:rPr>
                <w:rFonts w:ascii="Times New Roman" w:hAnsi="Times New Roman"/>
                <w:sz w:val="24"/>
                <w:szCs w:val="24"/>
                <w:lang w:val="en-GB"/>
              </w:rPr>
              <w:t>约</w:t>
            </w:r>
            <w:r w:rsidRPr="001B5108">
              <w:rPr>
                <w:rFonts w:ascii="Times New Roman" w:hAnsi="Times New Roman"/>
                <w:sz w:val="24"/>
                <w:szCs w:val="24"/>
                <w:lang w:val="en-GB"/>
              </w:rPr>
              <w:t>2</w:t>
            </w:r>
            <w:r w:rsidRPr="001B5108">
              <w:rPr>
                <w:rFonts w:ascii="Times New Roman" w:hAnsi="Times New Roman" w:hint="eastAsia"/>
                <w:sz w:val="24"/>
                <w:szCs w:val="24"/>
                <w:lang w:val="en-GB"/>
              </w:rPr>
              <w:t>2</w:t>
            </w:r>
            <w:r w:rsidRPr="001B5108">
              <w:rPr>
                <w:rFonts w:ascii="Times New Roman" w:hAnsi="Times New Roman"/>
                <w:sz w:val="24"/>
                <w:szCs w:val="24"/>
                <w:lang w:val="en-GB"/>
              </w:rPr>
              <w:t>00</w:t>
            </w:r>
            <w:r w:rsidRPr="001B5108">
              <w:rPr>
                <w:rFonts w:ascii="Times New Roman" w:hAnsi="Times New Roman"/>
                <w:sz w:val="24"/>
                <w:szCs w:val="24"/>
                <w:lang w:val="en-GB"/>
              </w:rPr>
              <w:t>万加拿大</w:t>
            </w:r>
            <w:r w:rsidRPr="001B5108">
              <w:rPr>
                <w:rFonts w:ascii="Times New Roman" w:hAnsi="Times New Roman"/>
                <w:sz w:val="24"/>
                <w:szCs w:val="24"/>
              </w:rPr>
              <w:t>出资人和受益人</w:t>
            </w:r>
            <w:r w:rsidRPr="001B5108">
              <w:rPr>
                <w:rFonts w:ascii="Times New Roman" w:hAnsi="Times New Roman" w:hint="eastAsia"/>
                <w:sz w:val="24"/>
                <w:szCs w:val="24"/>
              </w:rPr>
              <w:t>，就</w:t>
            </w:r>
            <w:r w:rsidRPr="001B5108">
              <w:rPr>
                <w:rFonts w:ascii="Times New Roman" w:hAnsi="Times New Roman" w:hint="eastAsia"/>
                <w:sz w:val="24"/>
                <w:szCs w:val="24"/>
                <w:lang w:val="en-GB"/>
              </w:rPr>
              <w:t>其</w:t>
            </w:r>
            <w:r w:rsidRPr="001B5108">
              <w:rPr>
                <w:rFonts w:ascii="Times New Roman" w:hAnsi="Times New Roman"/>
                <w:sz w:val="24"/>
                <w:szCs w:val="24"/>
                <w:lang w:val="en-GB"/>
              </w:rPr>
              <w:t>受让于</w:t>
            </w:r>
            <w:r w:rsidRPr="001B5108">
              <w:rPr>
                <w:rFonts w:ascii="Times New Roman" w:hAnsi="Times New Roman" w:hint="eastAsia"/>
                <w:sz w:val="24"/>
                <w:szCs w:val="24"/>
                <w:lang w:val="en-GB"/>
              </w:rPr>
              <w:t>加拿大养老金计划</w:t>
            </w:r>
            <w:r w:rsidRPr="001B5108">
              <w:rPr>
                <w:rFonts w:ascii="Times New Roman" w:hAnsi="Times New Roman"/>
                <w:sz w:val="24"/>
                <w:szCs w:val="24"/>
                <w:lang w:val="en-GB"/>
              </w:rPr>
              <w:t>的资金进行投资。</w:t>
            </w:r>
          </w:p>
          <w:p w14:paraId="2C1A68BC" w14:textId="77777777" w:rsidR="005D1E98" w:rsidRPr="001B5108" w:rsidRDefault="005D1E98" w:rsidP="005D1E98">
            <w:pPr>
              <w:widowControl/>
              <w:snapToGrid w:val="0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  <w:p w14:paraId="5E899270" w14:textId="0C30C1C7" w:rsidR="005D1E98" w:rsidRPr="001B5108" w:rsidRDefault="005D1E98" w:rsidP="005D1E98">
            <w:pPr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1B5108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加拿大养老金计划投资委员会</w:t>
            </w:r>
            <w:r w:rsidRPr="001B5108">
              <w:rPr>
                <w:rFonts w:ascii="Times New Roman" w:hAnsi="Times New Roman" w:hint="eastAsia"/>
                <w:sz w:val="24"/>
                <w:szCs w:val="24"/>
              </w:rPr>
              <w:t>没有最终控制人。</w:t>
            </w:r>
          </w:p>
        </w:tc>
      </w:tr>
      <w:tr w:rsidR="005D1E98" w:rsidRPr="001B5108" w14:paraId="3CFE5383" w14:textId="77777777" w:rsidTr="00CB00DF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14:paraId="16B7B89E" w14:textId="77777777" w:rsidR="005D1E98" w:rsidRPr="001B5108" w:rsidRDefault="005D1E98" w:rsidP="00604F8D">
            <w:pPr>
              <w:jc w:val="center"/>
              <w:rPr>
                <w:rFonts w:ascii="Times New Roman" w:hAnsi="Times New Roman"/>
                <w:b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14:paraId="21324FA8" w14:textId="02D14BCA" w:rsidR="005D1E98" w:rsidRPr="001B5108" w:rsidRDefault="005D1E98" w:rsidP="00A32A05">
            <w:pPr>
              <w:pStyle w:val="af0"/>
              <w:numPr>
                <w:ilvl w:val="0"/>
                <w:numId w:val="5"/>
              </w:numPr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1B5108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Pactiv</w:t>
            </w:r>
          </w:p>
        </w:tc>
        <w:tc>
          <w:tcPr>
            <w:tcW w:w="5153" w:type="dxa"/>
          </w:tcPr>
          <w:p w14:paraId="70D67B08" w14:textId="77777777" w:rsidR="005D1E98" w:rsidRPr="001B5108" w:rsidRDefault="005D1E98" w:rsidP="00510BD7">
            <w:pPr>
              <w:widowControl/>
              <w:snapToGrid w:val="0"/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1B5108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Pactiv</w:t>
            </w:r>
            <w:r w:rsidRPr="001B5108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于</w:t>
            </w:r>
            <w:r w:rsidRPr="001B5108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2006</w:t>
            </w:r>
            <w:r w:rsidRPr="001B5108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 w:rsidRPr="001B5108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5</w:t>
            </w:r>
            <w:r w:rsidRPr="001B5108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月</w:t>
            </w:r>
            <w:r w:rsidRPr="001B5108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30</w:t>
            </w:r>
            <w:r w:rsidRPr="001B5108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日成立于美国。</w:t>
            </w:r>
            <w:r w:rsidRPr="001B5108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Pactiv</w:t>
            </w:r>
            <w:r w:rsidRPr="001B5108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主要从事包装业务。</w:t>
            </w:r>
          </w:p>
          <w:p w14:paraId="40CA804D" w14:textId="77777777" w:rsidR="005D1E98" w:rsidRPr="001B5108" w:rsidRDefault="005D1E98" w:rsidP="00510BD7">
            <w:pPr>
              <w:widowControl/>
              <w:snapToGrid w:val="0"/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</w:pPr>
          </w:p>
          <w:p w14:paraId="222693BC" w14:textId="7101E53B" w:rsidR="005D1E98" w:rsidRPr="001B5108" w:rsidRDefault="005D1E98" w:rsidP="00510BD7">
            <w:pPr>
              <w:widowControl/>
              <w:snapToGrid w:val="0"/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1B5108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Pactiv</w:t>
            </w:r>
            <w:r w:rsidRPr="001B5108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的最终控制人为自然人。</w:t>
            </w:r>
          </w:p>
        </w:tc>
      </w:tr>
      <w:tr w:rsidR="00D92F35" w:rsidRPr="001B5108" w14:paraId="7BC4A34C" w14:textId="77777777" w:rsidTr="00CB00DF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2C8052A9" w14:textId="77777777" w:rsidR="00CB00DF" w:rsidRPr="001B5108" w:rsidRDefault="00CB00DF" w:rsidP="00C25985">
            <w:pPr>
              <w:jc w:val="center"/>
              <w:rPr>
                <w:rFonts w:ascii="Times New Roman" w:hAnsi="Times New Roman"/>
                <w:b/>
                <w:kern w:val="0"/>
                <w:sz w:val="24"/>
                <w:szCs w:val="24"/>
                <w:bdr w:val="none" w:sz="0" w:space="0" w:color="auto" w:frame="1"/>
              </w:rPr>
            </w:pPr>
            <w:r w:rsidRPr="001B5108">
              <w:rPr>
                <w:rFonts w:ascii="Times New Roman" w:hAnsi="Times New Roman"/>
                <w:b/>
                <w:kern w:val="0"/>
                <w:sz w:val="24"/>
                <w:szCs w:val="24"/>
                <w:bdr w:val="none" w:sz="0" w:space="0" w:color="auto" w:frame="1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14:paraId="51EFE8D9" w14:textId="71228BB1" w:rsidR="00CB00DF" w:rsidRPr="001B5108" w:rsidRDefault="00DB2550" w:rsidP="00C25985">
            <w:pPr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1B5108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="00CB00DF" w:rsidRPr="001B5108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1.</w:t>
            </w:r>
            <w:r w:rsidR="00CB00DF" w:rsidRPr="001B5108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在同一相关市场，所有参与集中的经营者所占市场份额之和小于</w:t>
            </w:r>
            <w:r w:rsidR="00CB00DF" w:rsidRPr="001B5108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15%</w:t>
            </w:r>
            <w:r w:rsidR="00CB00DF" w:rsidRPr="001B5108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D92F35" w:rsidRPr="001B5108" w14:paraId="3E97A3B5" w14:textId="77777777" w:rsidTr="00CB00DF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14:paraId="41B98BFA" w14:textId="77777777" w:rsidR="00CB00DF" w:rsidRPr="001B5108" w:rsidRDefault="00CB00DF" w:rsidP="00C25985">
            <w:pPr>
              <w:jc w:val="center"/>
              <w:rPr>
                <w:rFonts w:ascii="Times New Roman" w:hAnsi="Times New Roman"/>
                <w:b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063BC8EB" w14:textId="77777777" w:rsidR="00CB00DF" w:rsidRPr="001B5108" w:rsidRDefault="00CB00DF" w:rsidP="00C25985">
            <w:pPr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1B5108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□2.</w:t>
            </w:r>
            <w:r w:rsidRPr="001B5108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存在上下游关系的参与集中的经营者，在上下游市场所占的市场份额均小于</w:t>
            </w:r>
            <w:r w:rsidRPr="001B5108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25%</w:t>
            </w:r>
            <w:r w:rsidRPr="001B5108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D92F35" w:rsidRPr="001B5108" w14:paraId="14CA1F77" w14:textId="77777777" w:rsidTr="00CB00DF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14:paraId="5A702367" w14:textId="77777777" w:rsidR="00CB00DF" w:rsidRPr="001B5108" w:rsidRDefault="00CB00DF" w:rsidP="00C25985">
            <w:pPr>
              <w:jc w:val="center"/>
              <w:rPr>
                <w:rFonts w:ascii="Times New Roman" w:hAnsi="Times New Roman"/>
                <w:b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1B0B1FA8" w14:textId="03E5EE8F" w:rsidR="00CB00DF" w:rsidRPr="001B5108" w:rsidRDefault="00510BD7" w:rsidP="00C25985">
            <w:pPr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1B5108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="00CB00DF" w:rsidRPr="001B5108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3.</w:t>
            </w:r>
            <w:r w:rsidR="00CB00DF" w:rsidRPr="001B5108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不在同一相关市场、也不存在上下游关系的参与集中的经营者，在与交易有关的每个市场所占的份额均小于</w:t>
            </w:r>
            <w:r w:rsidR="00CB00DF" w:rsidRPr="001B5108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25%</w:t>
            </w:r>
            <w:r w:rsidR="00CB00DF" w:rsidRPr="001B5108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D92F35" w:rsidRPr="001B5108" w14:paraId="53EA9230" w14:textId="77777777" w:rsidTr="00054C40">
        <w:trPr>
          <w:trHeight w:val="623"/>
        </w:trPr>
        <w:tc>
          <w:tcPr>
            <w:tcW w:w="1809" w:type="dxa"/>
            <w:vMerge/>
            <w:shd w:val="clear" w:color="auto" w:fill="D9D9D9"/>
            <w:vAlign w:val="center"/>
          </w:tcPr>
          <w:p w14:paraId="2925CAE2" w14:textId="77777777" w:rsidR="00CB00DF" w:rsidRPr="001B5108" w:rsidRDefault="00CB00DF" w:rsidP="00C25985">
            <w:pPr>
              <w:jc w:val="center"/>
              <w:rPr>
                <w:rFonts w:ascii="Times New Roman" w:hAnsi="Times New Roman"/>
                <w:b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29E511DA" w14:textId="207B5D6F" w:rsidR="00CB00DF" w:rsidRPr="001B5108" w:rsidRDefault="00FD78FE" w:rsidP="00C25985">
            <w:pPr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1B5108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="00CB00DF" w:rsidRPr="001B5108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4.</w:t>
            </w:r>
            <w:r w:rsidR="00CB00DF" w:rsidRPr="001B5108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参与集中的经营者在中国境外设立合营企业，合营企业不在中国境内从事经济活动。</w:t>
            </w:r>
          </w:p>
        </w:tc>
      </w:tr>
      <w:tr w:rsidR="00D92F35" w:rsidRPr="001B5108" w14:paraId="0493979B" w14:textId="77777777" w:rsidTr="00CB00DF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14:paraId="68F72BE7" w14:textId="77777777" w:rsidR="00CB00DF" w:rsidRPr="001B5108" w:rsidRDefault="00CB00DF" w:rsidP="00C25985">
            <w:pPr>
              <w:jc w:val="center"/>
              <w:rPr>
                <w:rFonts w:ascii="Times New Roman" w:hAnsi="Times New Roman"/>
                <w:b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6D5C2F68" w14:textId="5820D4CC" w:rsidR="00CB00DF" w:rsidRPr="001B5108" w:rsidRDefault="00510BD7" w:rsidP="00C25985">
            <w:pPr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1B5108">
              <w:rPr>
                <w:rFonts w:ascii="Times New Roman" w:hAnsi="Times New Roman"/>
                <w:sz w:val="24"/>
                <w:szCs w:val="24"/>
              </w:rPr>
              <w:sym w:font="Wingdings" w:char="F0FE"/>
            </w:r>
            <w:r w:rsidR="00CB00DF" w:rsidRPr="001B5108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5.</w:t>
            </w:r>
            <w:r w:rsidR="00CB00DF" w:rsidRPr="001B5108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参与集中的经营者收购境外企业股权或资产的，该境外企业不在中国境内从事经济活动。</w:t>
            </w:r>
          </w:p>
        </w:tc>
      </w:tr>
      <w:tr w:rsidR="00D92F35" w:rsidRPr="001B5108" w14:paraId="51E6235F" w14:textId="77777777" w:rsidTr="00CB00DF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14:paraId="2D2BBB4C" w14:textId="77777777" w:rsidR="00CB00DF" w:rsidRPr="001B5108" w:rsidRDefault="00CB00DF" w:rsidP="00C25985">
            <w:pPr>
              <w:jc w:val="center"/>
              <w:rPr>
                <w:rFonts w:ascii="Times New Roman" w:hAnsi="Times New Roman"/>
                <w:b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01BD2FF9" w14:textId="77777777" w:rsidR="00CB00DF" w:rsidRPr="001B5108" w:rsidRDefault="00CB00DF" w:rsidP="00C25985">
            <w:pPr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1B5108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□6.</w:t>
            </w:r>
            <w:r w:rsidRPr="001B5108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由两个以上的经营者共同控制的合营企业，通过集中被其中一个或一个以上经营者控制。</w:t>
            </w:r>
          </w:p>
        </w:tc>
      </w:tr>
      <w:tr w:rsidR="00D92F35" w:rsidRPr="00D92F35" w14:paraId="634F4A97" w14:textId="77777777" w:rsidTr="00CB00DF">
        <w:tc>
          <w:tcPr>
            <w:tcW w:w="1809" w:type="dxa"/>
            <w:shd w:val="clear" w:color="auto" w:fill="D9D9D9"/>
            <w:vAlign w:val="center"/>
          </w:tcPr>
          <w:p w14:paraId="04E7CB09" w14:textId="77777777" w:rsidR="00CB00DF" w:rsidRPr="001B5108" w:rsidRDefault="00CB00DF" w:rsidP="00C25985">
            <w:pPr>
              <w:jc w:val="center"/>
              <w:rPr>
                <w:rFonts w:ascii="Times New Roman" w:hAnsi="Times New Roman"/>
                <w:b/>
                <w:kern w:val="0"/>
                <w:sz w:val="24"/>
                <w:szCs w:val="24"/>
                <w:bdr w:val="none" w:sz="0" w:space="0" w:color="auto" w:frame="1"/>
              </w:rPr>
            </w:pPr>
            <w:r w:rsidRPr="001B5108">
              <w:rPr>
                <w:rFonts w:ascii="Times New Roman" w:hAnsi="Times New Roman"/>
                <w:b/>
                <w:kern w:val="0"/>
                <w:sz w:val="24"/>
                <w:szCs w:val="24"/>
                <w:bdr w:val="none" w:sz="0" w:space="0" w:color="auto" w:frame="1"/>
              </w:rPr>
              <w:t>备注</w:t>
            </w:r>
          </w:p>
        </w:tc>
        <w:tc>
          <w:tcPr>
            <w:tcW w:w="6949" w:type="dxa"/>
            <w:gridSpan w:val="2"/>
          </w:tcPr>
          <w:p w14:paraId="50302D86" w14:textId="709498A6" w:rsidR="005113D0" w:rsidRPr="00510BD7" w:rsidRDefault="00510BD7" w:rsidP="00510BD7">
            <w:pPr>
              <w:adjustRightInd w:val="0"/>
              <w:snapToGrid w:val="0"/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1B5108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不适用</w:t>
            </w:r>
          </w:p>
        </w:tc>
      </w:tr>
    </w:tbl>
    <w:p w14:paraId="7562DAD0" w14:textId="77777777" w:rsidR="00311FE2" w:rsidRPr="00D92F35" w:rsidRDefault="00311FE2">
      <w:pPr>
        <w:rPr>
          <w:rFonts w:ascii="仿宋" w:eastAsia="仿宋" w:hAnsi="仿宋" w:hint="eastAsia"/>
          <w:sz w:val="22"/>
        </w:rPr>
      </w:pPr>
    </w:p>
    <w:sectPr w:rsidR="00311FE2" w:rsidRPr="00D92F35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EF2E99" w14:textId="77777777" w:rsidR="000A11AA" w:rsidRDefault="000A11AA" w:rsidP="005D58EF">
      <w:r>
        <w:separator/>
      </w:r>
    </w:p>
  </w:endnote>
  <w:endnote w:type="continuationSeparator" w:id="0">
    <w:p w14:paraId="17DBC0D1" w14:textId="77777777" w:rsidR="000A11AA" w:rsidRDefault="000A11AA" w:rsidP="005D58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B6F5FA" w14:textId="77777777" w:rsidR="000A11AA" w:rsidRDefault="000A11AA" w:rsidP="005D58EF">
      <w:r>
        <w:separator/>
      </w:r>
    </w:p>
  </w:footnote>
  <w:footnote w:type="continuationSeparator" w:id="0">
    <w:p w14:paraId="0CA331BD" w14:textId="77777777" w:rsidR="000A11AA" w:rsidRDefault="000A11AA" w:rsidP="005D58E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635B8"/>
    <w:multiLevelType w:val="hybridMultilevel"/>
    <w:tmpl w:val="23583956"/>
    <w:lvl w:ilvl="0" w:tplc="04090019">
      <w:start w:val="1"/>
      <w:numFmt w:val="lowerLetter"/>
      <w:lvlText w:val="%1)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D634D15"/>
    <w:multiLevelType w:val="hybridMultilevel"/>
    <w:tmpl w:val="DC461BA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E4D597B"/>
    <w:multiLevelType w:val="hybridMultilevel"/>
    <w:tmpl w:val="16806BBA"/>
    <w:lvl w:ilvl="0" w:tplc="5284178E">
      <w:start w:val="1"/>
      <w:numFmt w:val="decimal"/>
      <w:lvlText w:val="%1."/>
      <w:lvlJc w:val="left"/>
      <w:pPr>
        <w:ind w:left="360" w:hanging="360"/>
      </w:pPr>
      <w:rPr>
        <w:rFonts w:ascii="宋体" w:hAnsi="宋体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D104D5D"/>
    <w:multiLevelType w:val="hybridMultilevel"/>
    <w:tmpl w:val="0F0EEEFC"/>
    <w:lvl w:ilvl="0" w:tplc="46988E3C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5F580ABF"/>
    <w:multiLevelType w:val="hybridMultilevel"/>
    <w:tmpl w:val="4FCA8DA2"/>
    <w:lvl w:ilvl="0" w:tplc="0884EF0C">
      <w:start w:val="1"/>
      <w:numFmt w:val="bullet"/>
      <w:lvlText w:val="-"/>
      <w:lvlJc w:val="left"/>
      <w:pPr>
        <w:ind w:left="360" w:hanging="36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6078259F"/>
    <w:multiLevelType w:val="hybridMultilevel"/>
    <w:tmpl w:val="2ECEF2C0"/>
    <w:lvl w:ilvl="0" w:tplc="2FD8EB36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637E22F4"/>
    <w:multiLevelType w:val="hybridMultilevel"/>
    <w:tmpl w:val="6756AA36"/>
    <w:lvl w:ilvl="0" w:tplc="26585208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466356436">
    <w:abstractNumId w:val="4"/>
  </w:num>
  <w:num w:numId="2" w16cid:durableId="99296639">
    <w:abstractNumId w:val="2"/>
  </w:num>
  <w:num w:numId="3" w16cid:durableId="1497382756">
    <w:abstractNumId w:val="3"/>
  </w:num>
  <w:num w:numId="4" w16cid:durableId="1504591869">
    <w:abstractNumId w:val="5"/>
  </w:num>
  <w:num w:numId="5" w16cid:durableId="839657000">
    <w:abstractNumId w:val="6"/>
  </w:num>
  <w:num w:numId="6" w16cid:durableId="583803832">
    <w:abstractNumId w:val="1"/>
  </w:num>
  <w:num w:numId="7" w16cid:durableId="15657526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00DF"/>
    <w:rsid w:val="00001270"/>
    <w:rsid w:val="00001BDF"/>
    <w:rsid w:val="00007B3D"/>
    <w:rsid w:val="00037065"/>
    <w:rsid w:val="00037254"/>
    <w:rsid w:val="0005108B"/>
    <w:rsid w:val="00054C40"/>
    <w:rsid w:val="00063F6B"/>
    <w:rsid w:val="00073539"/>
    <w:rsid w:val="000800E3"/>
    <w:rsid w:val="000A002F"/>
    <w:rsid w:val="000A11AA"/>
    <w:rsid w:val="000A2647"/>
    <w:rsid w:val="000A319E"/>
    <w:rsid w:val="000B2201"/>
    <w:rsid w:val="000B2B29"/>
    <w:rsid w:val="000C0D78"/>
    <w:rsid w:val="000C2D55"/>
    <w:rsid w:val="000C523A"/>
    <w:rsid w:val="000D3C4C"/>
    <w:rsid w:val="000D7EBA"/>
    <w:rsid w:val="000F73E1"/>
    <w:rsid w:val="00103516"/>
    <w:rsid w:val="001037C9"/>
    <w:rsid w:val="00105A23"/>
    <w:rsid w:val="00110DA6"/>
    <w:rsid w:val="001164CD"/>
    <w:rsid w:val="00120CC0"/>
    <w:rsid w:val="0012491C"/>
    <w:rsid w:val="00132F1E"/>
    <w:rsid w:val="0015349B"/>
    <w:rsid w:val="001536A8"/>
    <w:rsid w:val="00155717"/>
    <w:rsid w:val="0015705B"/>
    <w:rsid w:val="0017489C"/>
    <w:rsid w:val="001837A3"/>
    <w:rsid w:val="001870FC"/>
    <w:rsid w:val="00196623"/>
    <w:rsid w:val="00197BEF"/>
    <w:rsid w:val="001A1C49"/>
    <w:rsid w:val="001A6A6D"/>
    <w:rsid w:val="001B1A02"/>
    <w:rsid w:val="001B33C7"/>
    <w:rsid w:val="001B5108"/>
    <w:rsid w:val="001B54DF"/>
    <w:rsid w:val="001D1060"/>
    <w:rsid w:val="00210E54"/>
    <w:rsid w:val="00217F2C"/>
    <w:rsid w:val="002320E6"/>
    <w:rsid w:val="00233983"/>
    <w:rsid w:val="00234B63"/>
    <w:rsid w:val="00235C21"/>
    <w:rsid w:val="00242B78"/>
    <w:rsid w:val="002449BB"/>
    <w:rsid w:val="00255584"/>
    <w:rsid w:val="002654D7"/>
    <w:rsid w:val="00266C22"/>
    <w:rsid w:val="00272976"/>
    <w:rsid w:val="00273259"/>
    <w:rsid w:val="002732F8"/>
    <w:rsid w:val="00275810"/>
    <w:rsid w:val="002778AB"/>
    <w:rsid w:val="00277AB6"/>
    <w:rsid w:val="0028574E"/>
    <w:rsid w:val="00293BAB"/>
    <w:rsid w:val="00295290"/>
    <w:rsid w:val="00295C41"/>
    <w:rsid w:val="002973FE"/>
    <w:rsid w:val="002A36AE"/>
    <w:rsid w:val="002B1D25"/>
    <w:rsid w:val="002B2248"/>
    <w:rsid w:val="002B2589"/>
    <w:rsid w:val="002B57D1"/>
    <w:rsid w:val="002B5F67"/>
    <w:rsid w:val="002B683A"/>
    <w:rsid w:val="002C1385"/>
    <w:rsid w:val="002C5D96"/>
    <w:rsid w:val="002C7679"/>
    <w:rsid w:val="002E18AC"/>
    <w:rsid w:val="002E1DAC"/>
    <w:rsid w:val="002E33C9"/>
    <w:rsid w:val="0030042A"/>
    <w:rsid w:val="003100B5"/>
    <w:rsid w:val="00311FE2"/>
    <w:rsid w:val="00330CB0"/>
    <w:rsid w:val="00334DEC"/>
    <w:rsid w:val="003350DC"/>
    <w:rsid w:val="003553FF"/>
    <w:rsid w:val="00374561"/>
    <w:rsid w:val="00375C13"/>
    <w:rsid w:val="003831DA"/>
    <w:rsid w:val="003835DB"/>
    <w:rsid w:val="003847FE"/>
    <w:rsid w:val="00387FF4"/>
    <w:rsid w:val="0039336B"/>
    <w:rsid w:val="003A7257"/>
    <w:rsid w:val="003B1FFB"/>
    <w:rsid w:val="003B43C8"/>
    <w:rsid w:val="003B6B0E"/>
    <w:rsid w:val="003C0AEB"/>
    <w:rsid w:val="003C6DCD"/>
    <w:rsid w:val="003E5CFC"/>
    <w:rsid w:val="003F3223"/>
    <w:rsid w:val="004015A2"/>
    <w:rsid w:val="004105D5"/>
    <w:rsid w:val="00414C0A"/>
    <w:rsid w:val="004320D2"/>
    <w:rsid w:val="004447BE"/>
    <w:rsid w:val="004471FD"/>
    <w:rsid w:val="00454DBD"/>
    <w:rsid w:val="00465B57"/>
    <w:rsid w:val="00481614"/>
    <w:rsid w:val="004863DB"/>
    <w:rsid w:val="004A73CB"/>
    <w:rsid w:val="004E37BC"/>
    <w:rsid w:val="004F7688"/>
    <w:rsid w:val="00503865"/>
    <w:rsid w:val="0050620F"/>
    <w:rsid w:val="00510BD7"/>
    <w:rsid w:val="005113D0"/>
    <w:rsid w:val="005214E6"/>
    <w:rsid w:val="005217D3"/>
    <w:rsid w:val="00523F38"/>
    <w:rsid w:val="005330FE"/>
    <w:rsid w:val="00537870"/>
    <w:rsid w:val="005413AE"/>
    <w:rsid w:val="00560025"/>
    <w:rsid w:val="00562593"/>
    <w:rsid w:val="00564696"/>
    <w:rsid w:val="00565371"/>
    <w:rsid w:val="00567A70"/>
    <w:rsid w:val="00570834"/>
    <w:rsid w:val="0057312C"/>
    <w:rsid w:val="00575A63"/>
    <w:rsid w:val="00576E31"/>
    <w:rsid w:val="005A4EF5"/>
    <w:rsid w:val="005A4F19"/>
    <w:rsid w:val="005A5101"/>
    <w:rsid w:val="005B3468"/>
    <w:rsid w:val="005D1E98"/>
    <w:rsid w:val="005D405B"/>
    <w:rsid w:val="005D58EF"/>
    <w:rsid w:val="005E13AC"/>
    <w:rsid w:val="00604F8D"/>
    <w:rsid w:val="00613CF9"/>
    <w:rsid w:val="00617963"/>
    <w:rsid w:val="006467D8"/>
    <w:rsid w:val="00650F8F"/>
    <w:rsid w:val="0065168B"/>
    <w:rsid w:val="006641C5"/>
    <w:rsid w:val="00665C74"/>
    <w:rsid w:val="0068378F"/>
    <w:rsid w:val="00684825"/>
    <w:rsid w:val="00687CDD"/>
    <w:rsid w:val="006944B1"/>
    <w:rsid w:val="006A531B"/>
    <w:rsid w:val="006A77D3"/>
    <w:rsid w:val="006B110F"/>
    <w:rsid w:val="006C0F0C"/>
    <w:rsid w:val="006C343B"/>
    <w:rsid w:val="006C3FE7"/>
    <w:rsid w:val="006C5467"/>
    <w:rsid w:val="006D08A8"/>
    <w:rsid w:val="006D0CBB"/>
    <w:rsid w:val="006E4CD7"/>
    <w:rsid w:val="006F180B"/>
    <w:rsid w:val="006F2A8E"/>
    <w:rsid w:val="006F65B5"/>
    <w:rsid w:val="006F7693"/>
    <w:rsid w:val="00710140"/>
    <w:rsid w:val="007128C9"/>
    <w:rsid w:val="00712ECD"/>
    <w:rsid w:val="00726E5D"/>
    <w:rsid w:val="00743EDC"/>
    <w:rsid w:val="0075208A"/>
    <w:rsid w:val="00793469"/>
    <w:rsid w:val="007A4192"/>
    <w:rsid w:val="007B2EC9"/>
    <w:rsid w:val="007C1A3F"/>
    <w:rsid w:val="007C4F9E"/>
    <w:rsid w:val="007C600A"/>
    <w:rsid w:val="007C7AB3"/>
    <w:rsid w:val="007D3F47"/>
    <w:rsid w:val="007F2275"/>
    <w:rsid w:val="007F789D"/>
    <w:rsid w:val="008005A0"/>
    <w:rsid w:val="008247CB"/>
    <w:rsid w:val="00827C8E"/>
    <w:rsid w:val="00832C56"/>
    <w:rsid w:val="008331A4"/>
    <w:rsid w:val="008626E7"/>
    <w:rsid w:val="008656A9"/>
    <w:rsid w:val="008720D8"/>
    <w:rsid w:val="008809CF"/>
    <w:rsid w:val="0088483F"/>
    <w:rsid w:val="00885236"/>
    <w:rsid w:val="008854C2"/>
    <w:rsid w:val="00891224"/>
    <w:rsid w:val="00892816"/>
    <w:rsid w:val="008A54DA"/>
    <w:rsid w:val="008B0B20"/>
    <w:rsid w:val="008B61F7"/>
    <w:rsid w:val="008B65E9"/>
    <w:rsid w:val="008B7F93"/>
    <w:rsid w:val="008D0F12"/>
    <w:rsid w:val="008D4276"/>
    <w:rsid w:val="008D6E9E"/>
    <w:rsid w:val="008F6C04"/>
    <w:rsid w:val="00915F0F"/>
    <w:rsid w:val="0092370F"/>
    <w:rsid w:val="00927948"/>
    <w:rsid w:val="00932924"/>
    <w:rsid w:val="009362DE"/>
    <w:rsid w:val="00950B41"/>
    <w:rsid w:val="009532DF"/>
    <w:rsid w:val="009733C7"/>
    <w:rsid w:val="00973928"/>
    <w:rsid w:val="0098127F"/>
    <w:rsid w:val="00986DC2"/>
    <w:rsid w:val="00997019"/>
    <w:rsid w:val="009A5029"/>
    <w:rsid w:val="009B4582"/>
    <w:rsid w:val="009C03E0"/>
    <w:rsid w:val="009C0FE0"/>
    <w:rsid w:val="009C7C90"/>
    <w:rsid w:val="009D38D5"/>
    <w:rsid w:val="009D42E3"/>
    <w:rsid w:val="009D5CB0"/>
    <w:rsid w:val="009F0ED5"/>
    <w:rsid w:val="00A0101F"/>
    <w:rsid w:val="00A058A6"/>
    <w:rsid w:val="00A11723"/>
    <w:rsid w:val="00A32A05"/>
    <w:rsid w:val="00A34A10"/>
    <w:rsid w:val="00A35DE7"/>
    <w:rsid w:val="00A47DC6"/>
    <w:rsid w:val="00A53F26"/>
    <w:rsid w:val="00A619F9"/>
    <w:rsid w:val="00A63221"/>
    <w:rsid w:val="00A7363A"/>
    <w:rsid w:val="00A809F5"/>
    <w:rsid w:val="00AA0CC5"/>
    <w:rsid w:val="00AA447A"/>
    <w:rsid w:val="00AB74F8"/>
    <w:rsid w:val="00AD3FE1"/>
    <w:rsid w:val="00AE113D"/>
    <w:rsid w:val="00AE1A43"/>
    <w:rsid w:val="00AE7D9C"/>
    <w:rsid w:val="00AF0C15"/>
    <w:rsid w:val="00AF62B1"/>
    <w:rsid w:val="00AF63EE"/>
    <w:rsid w:val="00AF75CD"/>
    <w:rsid w:val="00AF7EA3"/>
    <w:rsid w:val="00B13917"/>
    <w:rsid w:val="00B15499"/>
    <w:rsid w:val="00B16AFE"/>
    <w:rsid w:val="00B17D8D"/>
    <w:rsid w:val="00B34F4D"/>
    <w:rsid w:val="00B400A3"/>
    <w:rsid w:val="00B50BA3"/>
    <w:rsid w:val="00B50CC0"/>
    <w:rsid w:val="00B5126E"/>
    <w:rsid w:val="00B65DD5"/>
    <w:rsid w:val="00B76152"/>
    <w:rsid w:val="00B87731"/>
    <w:rsid w:val="00BA20D8"/>
    <w:rsid w:val="00BA482A"/>
    <w:rsid w:val="00BB3FE4"/>
    <w:rsid w:val="00BD10B6"/>
    <w:rsid w:val="00BE3DAC"/>
    <w:rsid w:val="00BF69D0"/>
    <w:rsid w:val="00C06697"/>
    <w:rsid w:val="00C07076"/>
    <w:rsid w:val="00C106C1"/>
    <w:rsid w:val="00C10954"/>
    <w:rsid w:val="00C13588"/>
    <w:rsid w:val="00C17CF8"/>
    <w:rsid w:val="00C25985"/>
    <w:rsid w:val="00C26493"/>
    <w:rsid w:val="00C315A0"/>
    <w:rsid w:val="00C4578B"/>
    <w:rsid w:val="00C510A4"/>
    <w:rsid w:val="00C64FB3"/>
    <w:rsid w:val="00C7117A"/>
    <w:rsid w:val="00C7302E"/>
    <w:rsid w:val="00C81D5D"/>
    <w:rsid w:val="00C90639"/>
    <w:rsid w:val="00C975C1"/>
    <w:rsid w:val="00CB00DF"/>
    <w:rsid w:val="00CB01A8"/>
    <w:rsid w:val="00CC3383"/>
    <w:rsid w:val="00CC50A4"/>
    <w:rsid w:val="00CE7A3C"/>
    <w:rsid w:val="00D05E36"/>
    <w:rsid w:val="00D1081C"/>
    <w:rsid w:val="00D13620"/>
    <w:rsid w:val="00D32C2E"/>
    <w:rsid w:val="00D36BD6"/>
    <w:rsid w:val="00D40EBF"/>
    <w:rsid w:val="00D42965"/>
    <w:rsid w:val="00D459A6"/>
    <w:rsid w:val="00D51CC2"/>
    <w:rsid w:val="00D51FFC"/>
    <w:rsid w:val="00D5324F"/>
    <w:rsid w:val="00D62EF7"/>
    <w:rsid w:val="00D66C3B"/>
    <w:rsid w:val="00D67DD5"/>
    <w:rsid w:val="00D73C72"/>
    <w:rsid w:val="00D75100"/>
    <w:rsid w:val="00D8320D"/>
    <w:rsid w:val="00D92F35"/>
    <w:rsid w:val="00D93BC6"/>
    <w:rsid w:val="00DA6756"/>
    <w:rsid w:val="00DB2550"/>
    <w:rsid w:val="00DB3909"/>
    <w:rsid w:val="00DC66F9"/>
    <w:rsid w:val="00DE1693"/>
    <w:rsid w:val="00DE4C6C"/>
    <w:rsid w:val="00DE708D"/>
    <w:rsid w:val="00E0303C"/>
    <w:rsid w:val="00E0592B"/>
    <w:rsid w:val="00E07C28"/>
    <w:rsid w:val="00E2429D"/>
    <w:rsid w:val="00E31738"/>
    <w:rsid w:val="00E54870"/>
    <w:rsid w:val="00E54B19"/>
    <w:rsid w:val="00E54EA4"/>
    <w:rsid w:val="00E575B1"/>
    <w:rsid w:val="00E611A9"/>
    <w:rsid w:val="00E7566E"/>
    <w:rsid w:val="00E819E5"/>
    <w:rsid w:val="00E83764"/>
    <w:rsid w:val="00E86786"/>
    <w:rsid w:val="00E91CD2"/>
    <w:rsid w:val="00E92968"/>
    <w:rsid w:val="00EA2A57"/>
    <w:rsid w:val="00EB0260"/>
    <w:rsid w:val="00EB1662"/>
    <w:rsid w:val="00EB35C8"/>
    <w:rsid w:val="00EB6127"/>
    <w:rsid w:val="00EC1DAE"/>
    <w:rsid w:val="00EC5DEE"/>
    <w:rsid w:val="00ED1BCF"/>
    <w:rsid w:val="00ED2F37"/>
    <w:rsid w:val="00ED2F80"/>
    <w:rsid w:val="00ED32E9"/>
    <w:rsid w:val="00EE75A2"/>
    <w:rsid w:val="00F1624E"/>
    <w:rsid w:val="00F17175"/>
    <w:rsid w:val="00F23B44"/>
    <w:rsid w:val="00F31D4E"/>
    <w:rsid w:val="00F3260E"/>
    <w:rsid w:val="00F32F8A"/>
    <w:rsid w:val="00F5728B"/>
    <w:rsid w:val="00F60070"/>
    <w:rsid w:val="00F666A5"/>
    <w:rsid w:val="00F6703A"/>
    <w:rsid w:val="00F75DFD"/>
    <w:rsid w:val="00F810AA"/>
    <w:rsid w:val="00F847EF"/>
    <w:rsid w:val="00F9171F"/>
    <w:rsid w:val="00FB12F8"/>
    <w:rsid w:val="00FB43EC"/>
    <w:rsid w:val="00FB6B40"/>
    <w:rsid w:val="00FB79A6"/>
    <w:rsid w:val="00FC638C"/>
    <w:rsid w:val="00FC78FE"/>
    <w:rsid w:val="00FC7B55"/>
    <w:rsid w:val="00FD11CA"/>
    <w:rsid w:val="00FD78FE"/>
    <w:rsid w:val="00FE0CE9"/>
    <w:rsid w:val="00FE2280"/>
    <w:rsid w:val="00FE5BDB"/>
    <w:rsid w:val="00FF20BA"/>
    <w:rsid w:val="00FF3A03"/>
    <w:rsid w:val="00FF6B5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4F6666"/>
  <w15:docId w15:val="{B6594CDA-27DE-4230-9A5F-6DCC4928A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00D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D58E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D58EF"/>
    <w:rPr>
      <w:rFonts w:ascii="Calibri" w:eastAsia="宋体" w:hAnsi="Calibri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D58E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D58EF"/>
    <w:rPr>
      <w:rFonts w:ascii="Calibri" w:eastAsia="宋体" w:hAnsi="Calibri" w:cs="Times New Roman"/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2B57D1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2B57D1"/>
    <w:rPr>
      <w:rFonts w:ascii="Calibri" w:eastAsia="宋体" w:hAnsi="Calibri" w:cs="Times New Roman"/>
      <w:sz w:val="18"/>
      <w:szCs w:val="18"/>
    </w:rPr>
  </w:style>
  <w:style w:type="table" w:styleId="a9">
    <w:name w:val="Table Grid"/>
    <w:basedOn w:val="a1"/>
    <w:uiPriority w:val="59"/>
    <w:rsid w:val="008B65E9"/>
    <w:rPr>
      <w:rFonts w:ascii="Calibri" w:eastAsia="宋体" w:hAnsi="Calibri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annotation reference"/>
    <w:basedOn w:val="a0"/>
    <w:uiPriority w:val="99"/>
    <w:semiHidden/>
    <w:unhideWhenUsed/>
    <w:rsid w:val="00B13917"/>
    <w:rPr>
      <w:sz w:val="21"/>
      <w:szCs w:val="21"/>
    </w:rPr>
  </w:style>
  <w:style w:type="paragraph" w:styleId="ab">
    <w:name w:val="annotation text"/>
    <w:basedOn w:val="a"/>
    <w:link w:val="ac"/>
    <w:uiPriority w:val="99"/>
    <w:semiHidden/>
    <w:unhideWhenUsed/>
    <w:rsid w:val="00B13917"/>
    <w:pPr>
      <w:jc w:val="left"/>
    </w:pPr>
  </w:style>
  <w:style w:type="character" w:customStyle="1" w:styleId="ac">
    <w:name w:val="批注文字 字符"/>
    <w:basedOn w:val="a0"/>
    <w:link w:val="ab"/>
    <w:uiPriority w:val="99"/>
    <w:semiHidden/>
    <w:rsid w:val="00B13917"/>
    <w:rPr>
      <w:rFonts w:ascii="Calibri" w:eastAsia="宋体" w:hAnsi="Calibri" w:cs="Times New Roman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B13917"/>
    <w:rPr>
      <w:b/>
      <w:bCs/>
    </w:rPr>
  </w:style>
  <w:style w:type="character" w:customStyle="1" w:styleId="ae">
    <w:name w:val="批注主题 字符"/>
    <w:basedOn w:val="ac"/>
    <w:link w:val="ad"/>
    <w:uiPriority w:val="99"/>
    <w:semiHidden/>
    <w:rsid w:val="00B13917"/>
    <w:rPr>
      <w:rFonts w:ascii="Calibri" w:eastAsia="宋体" w:hAnsi="Calibri" w:cs="Times New Roman"/>
      <w:b/>
      <w:bCs/>
    </w:rPr>
  </w:style>
  <w:style w:type="paragraph" w:styleId="af">
    <w:name w:val="Revision"/>
    <w:hidden/>
    <w:uiPriority w:val="99"/>
    <w:semiHidden/>
    <w:rsid w:val="008F6C04"/>
    <w:rPr>
      <w:rFonts w:ascii="Calibri" w:eastAsia="宋体" w:hAnsi="Calibri" w:cs="Times New Roman"/>
    </w:rPr>
  </w:style>
  <w:style w:type="paragraph" w:styleId="af0">
    <w:name w:val="List Paragraph"/>
    <w:basedOn w:val="a"/>
    <w:uiPriority w:val="34"/>
    <w:qFormat/>
    <w:rsid w:val="000A319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45C992-8F8C-4BF3-B81C-2BC1ED50BD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2</Pages>
  <Words>228</Words>
  <Characters>1305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Fangda</dc:creator>
  <cp:lastModifiedBy>Fangda</cp:lastModifiedBy>
  <cp:revision>126</cp:revision>
  <dcterms:created xsi:type="dcterms:W3CDTF">2023-12-13T07:49:00Z</dcterms:created>
  <dcterms:modified xsi:type="dcterms:W3CDTF">2025-03-12T01:47:00Z</dcterms:modified>
</cp:coreProperties>
</file>