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E5C64">
      <w:pPr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center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eastAsia="zh-CN" w:bidi="ar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eastAsia="zh-CN" w:bidi="ar"/>
        </w:rPr>
        <w:t>经营者集中简易案件公示表</w:t>
      </w:r>
    </w:p>
    <w:bookmarkEnd w:id="0"/>
    <w:tbl>
      <w:tblPr>
        <w:tblStyle w:val="5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476"/>
        <w:gridCol w:w="6224"/>
      </w:tblGrid>
      <w:tr w14:paraId="5006A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 w14:paraId="738BCAE5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15831815"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KKR公司与Stonepeak Partners LP收购Assura公司股权案</w:t>
            </w:r>
          </w:p>
        </w:tc>
      </w:tr>
      <w:tr w14:paraId="51837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 w14:paraId="5166AFFC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7CD86F5E"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KKR公司（与其子公司合称“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</w:rPr>
              <w:t>KKR</w:t>
            </w:r>
            <w:r>
              <w:rPr>
                <w:rFonts w:hint="default" w:ascii="Times New Roman" w:hAnsi="Times New Roman" w:cs="Times New Roman"/>
                <w:sz w:val="24"/>
              </w:rPr>
              <w:t>”）与Stonepeak Partners LP（“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</w:rPr>
              <w:t>Stonepeak Partners</w:t>
            </w:r>
            <w:r>
              <w:rPr>
                <w:rFonts w:hint="default" w:ascii="Times New Roman" w:hAnsi="Times New Roman" w:cs="Times New Roman"/>
                <w:sz w:val="24"/>
              </w:rPr>
              <w:t>”，与其关联方合称“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</w:rPr>
              <w:t>Stonepeak</w:t>
            </w:r>
            <w:r>
              <w:rPr>
                <w:rFonts w:hint="default" w:ascii="Times New Roman" w:hAnsi="Times New Roman" w:cs="Times New Roman"/>
                <w:sz w:val="24"/>
              </w:rPr>
              <w:t>”）将通过各自关联实体新设的一家特殊目的实体Sana Bidco Limited，发布公开要约收购Assura公司（Assura Plc，“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</w:rPr>
              <w:t>Assura</w:t>
            </w:r>
            <w:r>
              <w:rPr>
                <w:rFonts w:hint="default" w:ascii="Times New Roman" w:hAnsi="Times New Roman" w:cs="Times New Roman"/>
                <w:sz w:val="24"/>
              </w:rPr>
              <w:t>”）的全部已发行和即将发行的普通股股份。Assura在英国和爱尔兰从事医疗地产的开发业务。交易前，Assura无最终控制人。交易后，KKR和Stonepeak将分别间接控制Assura50%、50%股权并共同控制Assura。</w:t>
            </w:r>
          </w:p>
        </w:tc>
      </w:tr>
      <w:tr w14:paraId="43AFC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 w14:paraId="6400D73C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参与集中的经营者简介（每个限100字内）</w:t>
            </w:r>
          </w:p>
        </w:tc>
        <w:tc>
          <w:tcPr>
            <w:tcW w:w="1476" w:type="dxa"/>
            <w:vAlign w:val="center"/>
          </w:tcPr>
          <w:p w14:paraId="40F184C7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.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KKR公司</w:t>
            </w:r>
          </w:p>
        </w:tc>
        <w:tc>
          <w:tcPr>
            <w:tcW w:w="6224" w:type="dxa"/>
            <w:vAlign w:val="center"/>
          </w:tcPr>
          <w:p w14:paraId="5FE74ECF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KKR公司于1976年成立于美国，为纽约证券交易所上市公司，主要业务为投资业务，包括另类资产管理以及资本市场和保险解决方案。</w:t>
            </w:r>
          </w:p>
          <w:p w14:paraId="0E2B9280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KKR的最终控制人为KKR管理有限合伙，是一家控股公司，其关联实体从事投资业务。</w:t>
            </w:r>
          </w:p>
        </w:tc>
      </w:tr>
      <w:tr w14:paraId="14AA5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2D146F63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1476" w:type="dxa"/>
            <w:vAlign w:val="center"/>
          </w:tcPr>
          <w:p w14:paraId="6E7F36A3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.Stonepeak Partners</w:t>
            </w:r>
          </w:p>
        </w:tc>
        <w:tc>
          <w:tcPr>
            <w:tcW w:w="6224" w:type="dxa"/>
            <w:vAlign w:val="center"/>
          </w:tcPr>
          <w:p w14:paraId="7155C3C8"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Stonepeak Partners于2011年3月23日成立于美国，主要从事基础设施和实物资产的全球另类投资。</w:t>
            </w:r>
          </w:p>
          <w:p w14:paraId="34A67BE5">
            <w:pPr>
              <w:widowControl/>
              <w:adjustRightInd w:val="0"/>
              <w:snapToGrid w:val="0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Stonepeak Partners的最终控制人为自然人，主要通过Stonepeak从事基础设施和实物资产的全球另类投资。</w:t>
            </w:r>
          </w:p>
        </w:tc>
      </w:tr>
      <w:tr w14:paraId="1CE5F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466E2B26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1476" w:type="dxa"/>
            <w:vAlign w:val="center"/>
          </w:tcPr>
          <w:p w14:paraId="5215D091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sz w:val="24"/>
                <w:lang w:val="en-US" w:eastAsia="zh-CN"/>
              </w:rPr>
              <w:t>3.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Assura</w:t>
            </w:r>
          </w:p>
        </w:tc>
        <w:tc>
          <w:tcPr>
            <w:tcW w:w="6224" w:type="dxa"/>
            <w:vAlign w:val="center"/>
          </w:tcPr>
          <w:p w14:paraId="114A9600"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Assura于2014年12月10日成立于英国，为伦敦交易所和约翰内斯堡交易所上市公司，在英国和爱尔兰从事医疗地产的开发业务。</w:t>
            </w:r>
          </w:p>
          <w:p w14:paraId="1B5CFB84"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Assura股权结构分散，无最终控制人。</w:t>
            </w:r>
          </w:p>
        </w:tc>
      </w:tr>
      <w:tr w14:paraId="1EB43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 w14:paraId="7C517657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1AA45DBB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1、在同一相关市场，所有参与集中的经营者所占市场份额之和小于15%。</w:t>
            </w:r>
          </w:p>
        </w:tc>
      </w:tr>
      <w:tr w14:paraId="117B7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5BE83570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01C2C1B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2、存在上下游关系的参与集中的经营者，在上下游市场所占的市场份额均小于25%。</w:t>
            </w:r>
          </w:p>
        </w:tc>
      </w:tr>
      <w:tr w14:paraId="5754F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7AEE9479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0B906FF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14:paraId="29A42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5966A698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D531A25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1A491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08A7727A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F4BA91E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6A3C9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2CEC8130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6489F9F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390DE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 w14:paraId="1340E6A4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51353CCE"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不适用</w:t>
            </w:r>
          </w:p>
        </w:tc>
      </w:tr>
    </w:tbl>
    <w:p w14:paraId="6593CEE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DE0925"/>
    <w:rsid w:val="1CDE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styleId="3">
    <w:name w:val="Body Text"/>
    <w:basedOn w:val="1"/>
    <w:next w:val="4"/>
    <w:unhideWhenUsed/>
    <w:qFormat/>
    <w:uiPriority w:val="99"/>
    <w:pPr>
      <w:spacing w:after="120"/>
    </w:pPr>
  </w:style>
  <w:style w:type="paragraph" w:styleId="4">
    <w:name w:val="Body Text First Indent"/>
    <w:basedOn w:val="3"/>
    <w:qFormat/>
    <w:uiPriority w:val="0"/>
    <w:pPr>
      <w:ind w:firstLine="420" w:firstLineChars="1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省市场监督管理局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2025-05-09T00:42:00Z</dcterms:created>
  <dc:creator>胡翌婧</dc:creator>
  <cp:lastModifiedBy>胡翌婧</cp:lastModifiedBy>
  <dcterms:modified xsi:type="dcterms:W3CDTF">2025-05-09T00:42:58Z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B245272D84A14EE3BCB0551AD0E727FE_11</vt:lpwstr>
  </property>
  <property fmtid="{D5CDD505-2E9C-101B-9397-08002B2CF9AE}" pid="4" name="KSOTemplateDocerSaveRecord">
    <vt:lpwstr>eyJoZGlkIjoiODNjM2VkZWUwYjdkZDYzZGY2NmZiZGNiZGIyMjFjYWIiLCJ1c2VySWQiOiIyNDQ2MzYxMzgifQ==</vt:lpwstr>
  </property>
</Properties>
</file>