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FD8CD9">
      <w:pPr>
        <w:keepNext w:val="0"/>
        <w:keepLines w:val="0"/>
        <w:widowControl/>
        <w:suppressLineNumbers w:val="0"/>
        <w:spacing w:before="0" w:beforeAutospacing="0" w:after="240" w:afterAutospacing="0"/>
        <w:ind w:left="0" w:right="0"/>
        <w:jc w:val="center"/>
        <w:rPr>
          <w:rFonts w:hint="eastAsia" w:ascii="方正小标宋简体" w:hAnsi="方正小标宋简体" w:eastAsia="方正小标宋简体" w:cs="方正小标宋简体"/>
          <w:kern w:val="0"/>
          <w:sz w:val="44"/>
          <w:szCs w:val="44"/>
          <w:lang w:val="en-GB" w:eastAsia="zh-CN" w:bidi="ar"/>
        </w:rPr>
      </w:pPr>
      <w:bookmarkStart w:id="0" w:name="_GoBack"/>
      <w:r>
        <w:rPr>
          <w:rFonts w:hint="eastAsia" w:ascii="方正小标宋简体" w:hAnsi="方正小标宋简体" w:eastAsia="方正小标宋简体" w:cs="方正小标宋简体"/>
          <w:kern w:val="0"/>
          <w:sz w:val="44"/>
          <w:szCs w:val="44"/>
          <w:lang w:val="en-GB" w:eastAsia="zh-CN" w:bidi="ar"/>
        </w:rPr>
        <w:t>经营者集中简易案件公示表</w:t>
      </w:r>
    </w:p>
    <w:bookmarkEnd w:id="0"/>
    <w:tbl>
      <w:tblPr>
        <w:tblStyle w:val="3"/>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55"/>
        <w:gridCol w:w="6245"/>
      </w:tblGrid>
      <w:tr w14:paraId="6F30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noWrap w:val="0"/>
            <w:vAlign w:val="center"/>
          </w:tcPr>
          <w:p w14:paraId="34E58A2A">
            <w:pPr>
              <w:pStyle w:val="2"/>
              <w:adjustRightInd w:val="0"/>
              <w:snapToGrid w:val="0"/>
              <w:spacing w:after="0"/>
              <w:jc w:val="left"/>
              <w:rPr>
                <w:rFonts w:hint="eastAsia" w:ascii="宋体" w:hAnsi="宋体" w:cs="宋体"/>
                <w:bCs/>
                <w:color w:val="000000"/>
                <w:sz w:val="24"/>
                <w:szCs w:val="24"/>
                <w:lang w:val="en-US"/>
              </w:rPr>
            </w:pPr>
            <w:r>
              <w:rPr>
                <w:rFonts w:hint="eastAsia" w:ascii="宋体" w:hAnsi="宋体" w:cs="宋体"/>
                <w:bCs/>
                <w:color w:val="000000"/>
                <w:sz w:val="24"/>
                <w:szCs w:val="24"/>
              </w:rPr>
              <w:t>案件名称</w:t>
            </w:r>
          </w:p>
        </w:tc>
        <w:tc>
          <w:tcPr>
            <w:tcW w:w="7700" w:type="dxa"/>
            <w:gridSpan w:val="2"/>
            <w:noWrap w:val="0"/>
            <w:vAlign w:val="center"/>
          </w:tcPr>
          <w:p w14:paraId="22B55DD9">
            <w:pPr>
              <w:adjustRightInd w:val="0"/>
              <w:snapToGrid w:val="0"/>
              <w:spacing w:after="0"/>
              <w:rPr>
                <w:rFonts w:hint="eastAsia" w:ascii="宋体" w:hAnsi="宋体" w:cs="宋体"/>
                <w:bCs/>
                <w:color w:val="000000"/>
                <w:sz w:val="24"/>
                <w:szCs w:val="24"/>
                <w:lang w:val="en-US"/>
              </w:rPr>
            </w:pPr>
            <w:r>
              <w:rPr>
                <w:rFonts w:hint="eastAsia" w:ascii="宋体" w:hAnsi="宋体" w:cs="宋体"/>
                <w:bCs/>
                <w:color w:val="000000"/>
                <w:sz w:val="24"/>
                <w:szCs w:val="24"/>
                <w:lang w:val="en-US"/>
              </w:rPr>
              <w:t>霍尼韦尔国际公司收</w:t>
            </w:r>
            <w:r>
              <w:rPr>
                <w:rFonts w:hint="default" w:ascii="Times New Roman" w:hAnsi="Times New Roman" w:cs="Times New Roman"/>
                <w:bCs/>
                <w:color w:val="000000"/>
                <w:sz w:val="24"/>
                <w:szCs w:val="24"/>
                <w:lang w:val="en-US"/>
              </w:rPr>
              <w:t>购Johnson Matthey Davy Technologies Limited等三</w:t>
            </w:r>
            <w:r>
              <w:rPr>
                <w:rFonts w:hint="eastAsia" w:ascii="宋体" w:hAnsi="宋体" w:cs="宋体"/>
                <w:bCs/>
                <w:color w:val="000000"/>
                <w:sz w:val="24"/>
                <w:szCs w:val="24"/>
                <w:lang w:val="en-US"/>
              </w:rPr>
              <w:t>家公司股权案</w:t>
            </w:r>
          </w:p>
        </w:tc>
      </w:tr>
      <w:tr w14:paraId="3BD86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D9D9D9"/>
            <w:noWrap w:val="0"/>
            <w:vAlign w:val="center"/>
          </w:tcPr>
          <w:p w14:paraId="74EAADEF">
            <w:pPr>
              <w:pStyle w:val="2"/>
              <w:adjustRightInd w:val="0"/>
              <w:snapToGrid w:val="0"/>
              <w:spacing w:after="0"/>
              <w:rPr>
                <w:rFonts w:hint="eastAsia" w:ascii="宋体" w:hAnsi="宋体" w:cs="宋体"/>
                <w:bCs/>
                <w:color w:val="000000"/>
                <w:sz w:val="24"/>
                <w:szCs w:val="24"/>
                <w:lang w:val="en-US" w:eastAsia="zh-CN"/>
              </w:rPr>
            </w:pPr>
            <w:r>
              <w:rPr>
                <w:rFonts w:hint="eastAsia" w:ascii="宋体" w:hAnsi="宋体" w:cs="宋体"/>
                <w:bCs/>
                <w:color w:val="000000"/>
                <w:sz w:val="24"/>
                <w:szCs w:val="24"/>
                <w:lang w:eastAsia="zh-CN"/>
              </w:rPr>
              <w:t>交易概</w:t>
            </w:r>
            <w:r>
              <w:rPr>
                <w:rFonts w:hint="default" w:ascii="Times New Roman" w:hAnsi="Times New Roman" w:cs="Times New Roman"/>
                <w:bCs/>
                <w:color w:val="000000"/>
                <w:sz w:val="24"/>
                <w:szCs w:val="24"/>
                <w:lang w:eastAsia="zh-CN"/>
              </w:rPr>
              <w:t>况（限200字内）</w:t>
            </w:r>
          </w:p>
        </w:tc>
        <w:tc>
          <w:tcPr>
            <w:tcW w:w="7700" w:type="dxa"/>
            <w:gridSpan w:val="2"/>
            <w:noWrap w:val="0"/>
            <w:vAlign w:val="center"/>
          </w:tcPr>
          <w:p w14:paraId="48BD5083">
            <w:pPr>
              <w:widowControl w:val="0"/>
              <w:adjustRightInd w:val="0"/>
              <w:snapToGrid w:val="0"/>
              <w:spacing w:after="0"/>
              <w:rPr>
                <w:rFonts w:hint="default" w:ascii="Times New Roman" w:hAnsi="Times New Roman" w:cs="Times New Roman"/>
                <w:sz w:val="24"/>
                <w:szCs w:val="24"/>
              </w:rPr>
            </w:pPr>
            <w:r>
              <w:rPr>
                <w:rFonts w:hint="default" w:ascii="Times New Roman" w:hAnsi="Times New Roman" w:cs="Times New Roman"/>
                <w:sz w:val="24"/>
                <w:szCs w:val="24"/>
              </w:rPr>
              <w:t>霍尼韦尔国际公司（“</w:t>
            </w:r>
            <w:r>
              <w:rPr>
                <w:rFonts w:hint="default" w:ascii="Times New Roman" w:hAnsi="Times New Roman" w:cs="Times New Roman"/>
                <w:b/>
                <w:bCs/>
                <w:sz w:val="24"/>
                <w:szCs w:val="24"/>
              </w:rPr>
              <w:t>霍尼韦尔</w:t>
            </w:r>
            <w:r>
              <w:rPr>
                <w:rFonts w:hint="default" w:ascii="Times New Roman" w:hAnsi="Times New Roman" w:cs="Times New Roman"/>
                <w:sz w:val="24"/>
                <w:szCs w:val="24"/>
              </w:rPr>
              <w:t>”）与庄信万丰股份有限公司（“</w:t>
            </w:r>
            <w:r>
              <w:rPr>
                <w:rFonts w:hint="default" w:ascii="Times New Roman" w:hAnsi="Times New Roman" w:cs="Times New Roman"/>
                <w:b/>
                <w:bCs/>
                <w:sz w:val="24"/>
                <w:szCs w:val="24"/>
              </w:rPr>
              <w:t>庄信万丰</w:t>
            </w:r>
            <w:r>
              <w:rPr>
                <w:rFonts w:hint="default" w:ascii="Times New Roman" w:hAnsi="Times New Roman" w:cs="Times New Roman"/>
                <w:sz w:val="24"/>
                <w:szCs w:val="24"/>
              </w:rPr>
              <w:t>”）签署协议，霍尼韦尔拟收购Johnson Matthey Davy Technologies Limited、Johnson Matthey Chemicals GmbH和Johnson Matthey Process Technologies, Inc.（合称“</w:t>
            </w:r>
            <w:r>
              <w:rPr>
                <w:rFonts w:hint="default" w:ascii="Times New Roman" w:hAnsi="Times New Roman" w:cs="Times New Roman"/>
                <w:b/>
                <w:bCs/>
                <w:sz w:val="24"/>
                <w:szCs w:val="24"/>
              </w:rPr>
              <w:t>目标公司</w:t>
            </w:r>
            <w:r>
              <w:rPr>
                <w:rFonts w:hint="default" w:ascii="Times New Roman" w:hAnsi="Times New Roman" w:cs="Times New Roman"/>
                <w:sz w:val="24"/>
                <w:szCs w:val="24"/>
              </w:rPr>
              <w:t>”）的100%股权。</w:t>
            </w:r>
          </w:p>
          <w:p w14:paraId="62F65970">
            <w:pPr>
              <w:widowControl w:val="0"/>
              <w:adjustRightInd w:val="0"/>
              <w:snapToGrid w:val="0"/>
              <w:spacing w:after="0"/>
              <w:rPr>
                <w:rFonts w:ascii="宋体" w:hAnsi="宋体" w:cs="宋体"/>
                <w:sz w:val="24"/>
                <w:szCs w:val="24"/>
                <w:lang w:val="en-US"/>
              </w:rPr>
            </w:pPr>
            <w:r>
              <w:rPr>
                <w:rFonts w:hint="default" w:ascii="Times New Roman" w:hAnsi="Times New Roman" w:cs="Times New Roman"/>
                <w:sz w:val="24"/>
                <w:szCs w:val="24"/>
              </w:rPr>
              <w:t>交易前，庄信万丰持有目标公司100%的股权，单独控制目标公司。交易后，霍尼韦尔将通过其相关子公司持有目标公司100%的股份，并单独控制目标公司。</w:t>
            </w:r>
          </w:p>
        </w:tc>
      </w:tr>
      <w:tr w14:paraId="2421A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restart"/>
            <w:shd w:val="clear" w:color="auto" w:fill="D9D9D9"/>
            <w:noWrap w:val="0"/>
            <w:vAlign w:val="center"/>
          </w:tcPr>
          <w:p w14:paraId="189C4DE2">
            <w:pPr>
              <w:pStyle w:val="2"/>
              <w:adjustRightInd w:val="0"/>
              <w:snapToGrid w:val="0"/>
              <w:spacing w:after="0"/>
              <w:rPr>
                <w:rFonts w:hint="default" w:ascii="Times New Roman" w:hAnsi="Times New Roman" w:cs="Times New Roman"/>
                <w:bCs/>
                <w:color w:val="000000"/>
                <w:sz w:val="24"/>
                <w:szCs w:val="24"/>
                <w:lang w:val="en-US" w:eastAsia="zh-CN"/>
              </w:rPr>
            </w:pPr>
            <w:r>
              <w:rPr>
                <w:rFonts w:hint="default" w:ascii="Times New Roman" w:hAnsi="Times New Roman" w:cs="Times New Roman"/>
                <w:bCs/>
                <w:color w:val="000000"/>
                <w:sz w:val="24"/>
                <w:szCs w:val="24"/>
                <w:lang w:eastAsia="zh-CN"/>
              </w:rPr>
              <w:t>参与集中的经营者简介（每个限</w:t>
            </w:r>
            <w:r>
              <w:rPr>
                <w:rFonts w:hint="default" w:ascii="Times New Roman" w:hAnsi="Times New Roman" w:cs="Times New Roman"/>
                <w:bCs/>
                <w:color w:val="000000"/>
                <w:sz w:val="24"/>
                <w:szCs w:val="24"/>
                <w:lang w:val="en-US" w:eastAsia="zh-CN"/>
              </w:rPr>
              <w:t>100字以内</w:t>
            </w:r>
            <w:r>
              <w:rPr>
                <w:rFonts w:hint="default" w:ascii="Times New Roman" w:hAnsi="Times New Roman" w:cs="Times New Roman"/>
                <w:bCs/>
                <w:color w:val="000000"/>
                <w:sz w:val="24"/>
                <w:szCs w:val="24"/>
                <w:lang w:eastAsia="zh-CN"/>
              </w:rPr>
              <w:t>）</w:t>
            </w:r>
          </w:p>
        </w:tc>
        <w:tc>
          <w:tcPr>
            <w:tcW w:w="1455" w:type="dxa"/>
            <w:noWrap w:val="0"/>
            <w:vAlign w:val="center"/>
          </w:tcPr>
          <w:p w14:paraId="6068EC41">
            <w:pPr>
              <w:pStyle w:val="2"/>
              <w:adjustRightInd w:val="0"/>
              <w:snapToGrid w:val="0"/>
              <w:spacing w:after="0"/>
              <w:rPr>
                <w:rFonts w:hint="default" w:ascii="Times New Roman" w:hAnsi="Times New Roman" w:cs="Times New Roman"/>
                <w:bCs/>
                <w:color w:val="000000"/>
                <w:sz w:val="24"/>
                <w:szCs w:val="24"/>
                <w:lang w:val="en-US" w:eastAsia="zh-CN"/>
              </w:rPr>
            </w:pPr>
            <w:r>
              <w:rPr>
                <w:rFonts w:hint="default" w:ascii="Times New Roman" w:hAnsi="Times New Roman" w:cs="Times New Roman"/>
                <w:bCs/>
                <w:color w:val="000000"/>
                <w:sz w:val="24"/>
                <w:szCs w:val="24"/>
                <w:lang w:val="en-US" w:eastAsia="zh-CN"/>
              </w:rPr>
              <w:t>1.</w:t>
            </w:r>
            <w:r>
              <w:rPr>
                <w:rFonts w:hint="default" w:ascii="Times New Roman" w:hAnsi="Times New Roman" w:cs="Times New Roman"/>
                <w:sz w:val="24"/>
                <w:szCs w:val="24"/>
                <w:lang w:val="en-US" w:eastAsia="zh-CN"/>
              </w:rPr>
              <w:t>霍尼韦尔</w:t>
            </w:r>
          </w:p>
        </w:tc>
        <w:tc>
          <w:tcPr>
            <w:tcW w:w="6245" w:type="dxa"/>
            <w:noWrap w:val="0"/>
            <w:vAlign w:val="center"/>
          </w:tcPr>
          <w:p w14:paraId="571C60F1">
            <w:pPr>
              <w:adjustRightInd w:val="0"/>
              <w:snapToGrid w:val="0"/>
              <w:spacing w:after="0"/>
              <w:rPr>
                <w:rFonts w:hint="default" w:ascii="Times New Roman" w:hAnsi="Times New Roman" w:cs="Times New Roman"/>
                <w:sz w:val="24"/>
                <w:szCs w:val="24"/>
              </w:rPr>
            </w:pPr>
            <w:r>
              <w:rPr>
                <w:rFonts w:hint="default" w:ascii="Times New Roman" w:hAnsi="Times New Roman" w:cs="Times New Roman"/>
                <w:sz w:val="24"/>
                <w:szCs w:val="24"/>
              </w:rPr>
              <w:t>霍尼韦尔于1985年5月13日在美国成立，为纳斯达克股票交易所上市公司，主要业务为航空航天科技、工业自动化、能源与可持续发展解决方案、楼宇自动化。</w:t>
            </w:r>
          </w:p>
          <w:p w14:paraId="01D3687B">
            <w:pPr>
              <w:adjustRightInd w:val="0"/>
              <w:snapToGrid w:val="0"/>
              <w:spacing w:after="0"/>
              <w:rPr>
                <w:rFonts w:hint="default" w:ascii="Times New Roman" w:hAnsi="Times New Roman" w:cs="Times New Roman"/>
                <w:sz w:val="24"/>
                <w:szCs w:val="24"/>
              </w:rPr>
            </w:pPr>
            <w:r>
              <w:rPr>
                <w:rFonts w:hint="default" w:ascii="Times New Roman" w:hAnsi="Times New Roman" w:cs="Times New Roman"/>
                <w:sz w:val="24"/>
                <w:szCs w:val="24"/>
              </w:rPr>
              <w:t>霍尼韦尔无最终控制人。</w:t>
            </w:r>
          </w:p>
        </w:tc>
      </w:tr>
      <w:tr w14:paraId="246C6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continue"/>
            <w:shd w:val="clear" w:color="auto" w:fill="D9D9D9"/>
            <w:noWrap w:val="0"/>
            <w:vAlign w:val="center"/>
          </w:tcPr>
          <w:p w14:paraId="6C6F749E">
            <w:pPr>
              <w:pStyle w:val="2"/>
              <w:adjustRightInd w:val="0"/>
              <w:snapToGrid w:val="0"/>
              <w:spacing w:after="0"/>
              <w:rPr>
                <w:rFonts w:hint="default" w:ascii="Times New Roman" w:hAnsi="Times New Roman" w:cs="Times New Roman"/>
                <w:bCs/>
                <w:color w:val="000000"/>
                <w:sz w:val="24"/>
                <w:szCs w:val="24"/>
                <w:lang w:eastAsia="zh-CN"/>
              </w:rPr>
            </w:pPr>
          </w:p>
        </w:tc>
        <w:tc>
          <w:tcPr>
            <w:tcW w:w="1455" w:type="dxa"/>
            <w:noWrap w:val="0"/>
            <w:vAlign w:val="center"/>
          </w:tcPr>
          <w:p w14:paraId="4DB06B2A">
            <w:pPr>
              <w:pStyle w:val="2"/>
              <w:adjustRightInd w:val="0"/>
              <w:snapToGrid w:val="0"/>
              <w:spacing w:after="0"/>
              <w:rPr>
                <w:rFonts w:hint="default" w:ascii="Times New Roman" w:hAnsi="Times New Roman" w:cs="Times New Roman"/>
                <w:bCs/>
                <w:color w:val="000000"/>
                <w:sz w:val="24"/>
                <w:szCs w:val="24"/>
                <w:lang w:val="en-US" w:eastAsia="zh-CN"/>
              </w:rPr>
            </w:pPr>
            <w:r>
              <w:rPr>
                <w:rFonts w:hint="default" w:ascii="Times New Roman" w:hAnsi="Times New Roman" w:cs="Times New Roman"/>
                <w:bCs/>
                <w:color w:val="000000"/>
                <w:sz w:val="24"/>
                <w:szCs w:val="24"/>
                <w:lang w:val="en-US" w:eastAsia="zh-CN"/>
              </w:rPr>
              <w:t>2</w:t>
            </w:r>
            <w:r>
              <w:rPr>
                <w:rFonts w:hint="eastAsia" w:ascii="Times New Roman" w:hAnsi="Times New Roman" w:cs="Times New Roman"/>
                <w:bCs/>
                <w:color w:val="000000"/>
                <w:sz w:val="24"/>
                <w:szCs w:val="24"/>
                <w:lang w:val="en-US" w:eastAsia="zh-CN"/>
              </w:rPr>
              <w:t>.</w:t>
            </w:r>
            <w:r>
              <w:rPr>
                <w:rFonts w:hint="default" w:ascii="Times New Roman" w:hAnsi="Times New Roman" w:cs="Times New Roman"/>
                <w:bCs/>
                <w:color w:val="000000"/>
                <w:sz w:val="24"/>
                <w:szCs w:val="24"/>
                <w:lang w:val="en-US" w:eastAsia="zh-CN"/>
              </w:rPr>
              <w:t>目标公司</w:t>
            </w:r>
          </w:p>
        </w:tc>
        <w:tc>
          <w:tcPr>
            <w:tcW w:w="6245" w:type="dxa"/>
            <w:noWrap w:val="0"/>
            <w:vAlign w:val="center"/>
          </w:tcPr>
          <w:p w14:paraId="281F1D26">
            <w:pPr>
              <w:adjustRightInd w:val="0"/>
              <w:snapToGrid w:val="0"/>
              <w:spacing w:after="0"/>
              <w:rPr>
                <w:rFonts w:hint="default" w:ascii="Times New Roman" w:hAnsi="Times New Roman" w:cs="Times New Roman"/>
                <w:sz w:val="24"/>
                <w:szCs w:val="24"/>
              </w:rPr>
            </w:pPr>
            <w:r>
              <w:rPr>
                <w:rFonts w:hint="default" w:ascii="Times New Roman" w:hAnsi="Times New Roman" w:cs="Times New Roman"/>
                <w:sz w:val="24"/>
                <w:szCs w:val="24"/>
              </w:rPr>
              <w:t>目标公司分别于1959年8月19日、2002年10月11日、1986年11月13日在英国、德国和美国成立，三家目标公司在内部重组后将成为庄信万丰催化剂技术业务的母公司，主要从事催化剂技术业务。</w:t>
            </w:r>
          </w:p>
          <w:p w14:paraId="2C6B351B">
            <w:pPr>
              <w:adjustRightInd w:val="0"/>
              <w:snapToGrid w:val="0"/>
              <w:spacing w:after="0"/>
              <w:rPr>
                <w:rFonts w:hint="default" w:ascii="Times New Roman" w:hAnsi="Times New Roman" w:cs="Times New Roman"/>
                <w:sz w:val="24"/>
                <w:szCs w:val="24"/>
              </w:rPr>
            </w:pPr>
            <w:r>
              <w:rPr>
                <w:rFonts w:hint="default" w:ascii="Times New Roman" w:hAnsi="Times New Roman" w:cs="Times New Roman"/>
                <w:sz w:val="24"/>
                <w:szCs w:val="24"/>
              </w:rPr>
              <w:t>目标公司最终控制人为庄信万丰，主要通过四个业务板块开展业务，分别为清洁空气技术、铂族金属服务、氢能技术以及催化剂技术。</w:t>
            </w:r>
          </w:p>
        </w:tc>
      </w:tr>
      <w:tr w14:paraId="34FD0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D9D9D9"/>
            <w:noWrap w:val="0"/>
            <w:vAlign w:val="center"/>
          </w:tcPr>
          <w:p w14:paraId="03134C98">
            <w:pPr>
              <w:pStyle w:val="2"/>
              <w:adjustRightInd w:val="0"/>
              <w:snapToGrid w:val="0"/>
              <w:spacing w:after="0"/>
              <w:rPr>
                <w:rFonts w:hint="default" w:ascii="Times New Roman" w:hAnsi="Times New Roman" w:cs="Times New Roman"/>
                <w:bCs/>
                <w:color w:val="000000"/>
                <w:sz w:val="24"/>
                <w:szCs w:val="24"/>
                <w:lang w:val="en-US" w:eastAsia="zh-CN"/>
              </w:rPr>
            </w:pPr>
            <w:r>
              <w:rPr>
                <w:rFonts w:hint="default" w:ascii="Times New Roman" w:hAnsi="Times New Roman" w:cs="Times New Roman"/>
                <w:bCs/>
                <w:color w:val="000000"/>
                <w:sz w:val="24"/>
                <w:szCs w:val="24"/>
                <w:lang w:eastAsia="zh-CN"/>
              </w:rPr>
              <w:t>简易案件理由（可以单选，也可以多选）</w:t>
            </w:r>
          </w:p>
        </w:tc>
        <w:tc>
          <w:tcPr>
            <w:tcW w:w="7700" w:type="dxa"/>
            <w:gridSpan w:val="2"/>
            <w:noWrap w:val="0"/>
            <w:vAlign w:val="center"/>
          </w:tcPr>
          <w:p w14:paraId="38651F70">
            <w:pPr>
              <w:pStyle w:val="2"/>
              <w:adjustRightInd w:val="0"/>
              <w:snapToGrid w:val="0"/>
              <w:spacing w:after="0"/>
              <w:rPr>
                <w:rFonts w:hint="default" w:ascii="Times New Roman" w:hAnsi="Times New Roman" w:cs="Times New Roman"/>
                <w:bCs/>
                <w:color w:val="000000"/>
                <w:sz w:val="24"/>
                <w:szCs w:val="24"/>
                <w:lang w:val="en-US" w:eastAsia="zh-CN"/>
              </w:rPr>
            </w:pPr>
            <w:r>
              <w:rPr>
                <w:rFonts w:hint="default" w:ascii="Times New Roman" w:hAnsi="Times New Roman" w:cs="Times New Roman"/>
                <w:bCs/>
                <w:color w:val="000000"/>
                <w:sz w:val="24"/>
                <w:szCs w:val="24"/>
                <w:lang w:eastAsia="zh-CN"/>
              </w:rPr>
              <w:sym w:font="Wingdings" w:char="00FE"/>
            </w:r>
            <w:r>
              <w:rPr>
                <w:rFonts w:hint="default" w:ascii="Times New Roman" w:hAnsi="Times New Roman" w:cs="Times New Roman"/>
                <w:bCs/>
                <w:color w:val="000000"/>
                <w:sz w:val="24"/>
                <w:szCs w:val="24"/>
                <w:lang w:eastAsia="zh-CN"/>
              </w:rPr>
              <w:t>1、在同一相关市场，所有参与集中的经营者所占市场份额之和小于15%。</w:t>
            </w:r>
          </w:p>
        </w:tc>
      </w:tr>
      <w:tr w14:paraId="44DF2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D9D9D9"/>
            <w:noWrap w:val="0"/>
            <w:vAlign w:val="center"/>
          </w:tcPr>
          <w:p w14:paraId="30596603">
            <w:pPr>
              <w:pStyle w:val="2"/>
              <w:adjustRightInd w:val="0"/>
              <w:snapToGrid w:val="0"/>
              <w:spacing w:after="0"/>
              <w:rPr>
                <w:rFonts w:hint="default" w:ascii="Times New Roman" w:hAnsi="Times New Roman" w:cs="Times New Roman"/>
                <w:bCs/>
                <w:color w:val="000000"/>
                <w:sz w:val="24"/>
                <w:szCs w:val="24"/>
                <w:lang w:val="en-US" w:eastAsia="zh-CN"/>
              </w:rPr>
            </w:pPr>
          </w:p>
        </w:tc>
        <w:tc>
          <w:tcPr>
            <w:tcW w:w="7700" w:type="dxa"/>
            <w:gridSpan w:val="2"/>
            <w:noWrap w:val="0"/>
            <w:vAlign w:val="center"/>
          </w:tcPr>
          <w:p w14:paraId="0391BDE1">
            <w:pPr>
              <w:pStyle w:val="2"/>
              <w:adjustRightInd w:val="0"/>
              <w:snapToGrid w:val="0"/>
              <w:spacing w:after="0"/>
              <w:rPr>
                <w:rFonts w:hint="default" w:ascii="Times New Roman" w:hAnsi="Times New Roman" w:cs="Times New Roman"/>
                <w:bCs/>
                <w:color w:val="000000"/>
                <w:sz w:val="24"/>
                <w:szCs w:val="24"/>
                <w:lang w:val="en-US" w:eastAsia="zh-CN"/>
              </w:rPr>
            </w:pPr>
            <w:r>
              <w:rPr>
                <w:rFonts w:hint="default" w:ascii="Times New Roman" w:hAnsi="Times New Roman" w:cs="Times New Roman"/>
                <w:bCs/>
                <w:color w:val="000000"/>
                <w:sz w:val="24"/>
                <w:szCs w:val="24"/>
                <w:lang w:eastAsia="zh-CN"/>
              </w:rPr>
              <w:sym w:font="Wingdings" w:char="00A8"/>
            </w:r>
            <w:r>
              <w:rPr>
                <w:rFonts w:hint="default" w:ascii="Times New Roman" w:hAnsi="Times New Roman" w:cs="Times New Roman"/>
                <w:bCs/>
                <w:color w:val="000000"/>
                <w:sz w:val="24"/>
                <w:szCs w:val="24"/>
                <w:lang w:eastAsia="zh-CN"/>
              </w:rPr>
              <w:t xml:space="preserve"> 2、存在上下游关系的参与集中的经营者，在上下游市场所占的市场份额均小于25%。</w:t>
            </w:r>
          </w:p>
        </w:tc>
      </w:tr>
      <w:tr w14:paraId="02324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D9D9D9"/>
            <w:noWrap w:val="0"/>
            <w:vAlign w:val="center"/>
          </w:tcPr>
          <w:p w14:paraId="445EBD7B">
            <w:pPr>
              <w:pStyle w:val="2"/>
              <w:adjustRightInd w:val="0"/>
              <w:snapToGrid w:val="0"/>
              <w:spacing w:after="0"/>
              <w:rPr>
                <w:rFonts w:hint="default" w:ascii="Times New Roman" w:hAnsi="Times New Roman" w:cs="Times New Roman"/>
                <w:bCs/>
                <w:color w:val="000000"/>
                <w:sz w:val="24"/>
                <w:szCs w:val="24"/>
                <w:lang w:val="en-US" w:eastAsia="zh-CN"/>
              </w:rPr>
            </w:pPr>
          </w:p>
        </w:tc>
        <w:tc>
          <w:tcPr>
            <w:tcW w:w="7700" w:type="dxa"/>
            <w:gridSpan w:val="2"/>
            <w:noWrap w:val="0"/>
            <w:vAlign w:val="center"/>
          </w:tcPr>
          <w:p w14:paraId="635B99CA">
            <w:pPr>
              <w:pStyle w:val="2"/>
              <w:adjustRightInd w:val="0"/>
              <w:snapToGrid w:val="0"/>
              <w:spacing w:after="0"/>
              <w:rPr>
                <w:rFonts w:hint="default" w:ascii="Times New Roman" w:hAnsi="Times New Roman" w:cs="Times New Roman"/>
                <w:bCs/>
                <w:color w:val="000000"/>
                <w:sz w:val="24"/>
                <w:szCs w:val="24"/>
                <w:lang w:val="en-US" w:eastAsia="zh-CN"/>
              </w:rPr>
            </w:pPr>
            <w:r>
              <w:rPr>
                <w:rFonts w:hint="default" w:ascii="Times New Roman" w:hAnsi="Times New Roman" w:cs="Times New Roman"/>
                <w:bCs/>
                <w:color w:val="000000"/>
                <w:sz w:val="24"/>
                <w:szCs w:val="24"/>
                <w:lang w:eastAsia="zh-CN"/>
              </w:rPr>
              <w:sym w:font="Wingdings" w:char="00FE"/>
            </w:r>
            <w:r>
              <w:rPr>
                <w:rFonts w:hint="default" w:ascii="Times New Roman" w:hAnsi="Times New Roman" w:cs="Times New Roman"/>
                <w:bCs/>
                <w:color w:val="000000"/>
                <w:sz w:val="24"/>
                <w:szCs w:val="24"/>
                <w:lang w:eastAsia="zh-CN"/>
              </w:rPr>
              <w:t xml:space="preserve"> 3、不在同一相关市场、也不存在上下游关系的参与集中的经营者，在与交易有关的每个市场所占的份额均小于25%。</w:t>
            </w:r>
          </w:p>
        </w:tc>
      </w:tr>
      <w:tr w14:paraId="2E9B9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940" w:type="dxa"/>
            <w:vMerge w:val="continue"/>
            <w:shd w:val="clear" w:color="auto" w:fill="D9D9D9"/>
            <w:noWrap w:val="0"/>
            <w:vAlign w:val="center"/>
          </w:tcPr>
          <w:p w14:paraId="0BCDAB88">
            <w:pPr>
              <w:pStyle w:val="2"/>
              <w:adjustRightInd w:val="0"/>
              <w:snapToGrid w:val="0"/>
              <w:spacing w:after="0"/>
              <w:rPr>
                <w:rFonts w:hint="default" w:ascii="Times New Roman" w:hAnsi="Times New Roman" w:cs="Times New Roman"/>
                <w:bCs/>
                <w:color w:val="000000"/>
                <w:sz w:val="24"/>
                <w:szCs w:val="24"/>
                <w:lang w:val="en-US" w:eastAsia="zh-CN"/>
              </w:rPr>
            </w:pPr>
          </w:p>
        </w:tc>
        <w:tc>
          <w:tcPr>
            <w:tcW w:w="7700" w:type="dxa"/>
            <w:gridSpan w:val="2"/>
            <w:noWrap w:val="0"/>
            <w:vAlign w:val="center"/>
          </w:tcPr>
          <w:p w14:paraId="406529A6">
            <w:pPr>
              <w:pStyle w:val="2"/>
              <w:adjustRightInd w:val="0"/>
              <w:snapToGrid w:val="0"/>
              <w:spacing w:after="0"/>
              <w:rPr>
                <w:rFonts w:hint="default" w:ascii="Times New Roman" w:hAnsi="Times New Roman" w:cs="Times New Roman"/>
                <w:bCs/>
                <w:color w:val="000000"/>
                <w:sz w:val="24"/>
                <w:szCs w:val="24"/>
                <w:lang w:val="en-US" w:eastAsia="zh-CN"/>
              </w:rPr>
            </w:pPr>
            <w:r>
              <w:rPr>
                <w:rFonts w:hint="default" w:ascii="Times New Roman" w:hAnsi="Times New Roman" w:cs="Times New Roman"/>
                <w:bCs/>
                <w:color w:val="000000"/>
                <w:sz w:val="24"/>
                <w:szCs w:val="24"/>
                <w:lang w:eastAsia="zh-CN"/>
              </w:rPr>
              <w:sym w:font="Wingdings" w:char="00A8"/>
            </w:r>
            <w:r>
              <w:rPr>
                <w:rFonts w:hint="default" w:ascii="Times New Roman" w:hAnsi="Times New Roman" w:cs="Times New Roman"/>
                <w:bCs/>
                <w:color w:val="000000"/>
                <w:sz w:val="24"/>
                <w:szCs w:val="24"/>
                <w:lang w:eastAsia="zh-CN"/>
              </w:rPr>
              <w:t xml:space="preserve"> 4、参与集中的经营者在中国境外设立合营企业，合营企业不在中国境内从事经济活动。</w:t>
            </w:r>
          </w:p>
        </w:tc>
      </w:tr>
      <w:tr w14:paraId="1EEB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D9D9D9"/>
            <w:noWrap w:val="0"/>
            <w:vAlign w:val="center"/>
          </w:tcPr>
          <w:p w14:paraId="0D0060E7">
            <w:pPr>
              <w:pStyle w:val="2"/>
              <w:adjustRightInd w:val="0"/>
              <w:snapToGrid w:val="0"/>
              <w:spacing w:after="0"/>
              <w:rPr>
                <w:rFonts w:hint="default" w:ascii="Times New Roman" w:hAnsi="Times New Roman" w:cs="Times New Roman"/>
                <w:bCs/>
                <w:color w:val="000000"/>
                <w:sz w:val="24"/>
                <w:szCs w:val="24"/>
                <w:lang w:val="en-US" w:eastAsia="zh-CN"/>
              </w:rPr>
            </w:pPr>
          </w:p>
        </w:tc>
        <w:tc>
          <w:tcPr>
            <w:tcW w:w="7700" w:type="dxa"/>
            <w:gridSpan w:val="2"/>
            <w:noWrap w:val="0"/>
            <w:vAlign w:val="center"/>
          </w:tcPr>
          <w:p w14:paraId="645E87EB">
            <w:pPr>
              <w:pStyle w:val="2"/>
              <w:adjustRightInd w:val="0"/>
              <w:snapToGrid w:val="0"/>
              <w:spacing w:after="0"/>
              <w:rPr>
                <w:rFonts w:hint="default" w:ascii="Times New Roman" w:hAnsi="Times New Roman" w:cs="Times New Roman"/>
                <w:bCs/>
                <w:color w:val="000000"/>
                <w:sz w:val="24"/>
                <w:szCs w:val="24"/>
                <w:lang w:val="en-US" w:eastAsia="zh-CN"/>
              </w:rPr>
            </w:pPr>
            <w:r>
              <w:rPr>
                <w:rFonts w:hint="default" w:ascii="Times New Roman" w:hAnsi="Times New Roman" w:cs="Times New Roman"/>
                <w:bCs/>
                <w:color w:val="000000"/>
                <w:sz w:val="24"/>
                <w:szCs w:val="24"/>
                <w:lang w:eastAsia="zh-CN"/>
              </w:rPr>
              <w:sym w:font="Wingdings" w:char="00A8"/>
            </w:r>
            <w:r>
              <w:rPr>
                <w:rFonts w:hint="default" w:ascii="Times New Roman" w:hAnsi="Times New Roman" w:cs="Times New Roman"/>
                <w:bCs/>
                <w:color w:val="000000"/>
                <w:sz w:val="24"/>
                <w:szCs w:val="24"/>
                <w:lang w:eastAsia="zh-CN"/>
              </w:rPr>
              <w:t xml:space="preserve"> 5、参与集中的经营者收购境外企业股权或资产的，该境外企业不在中国境内从事经济活动。</w:t>
            </w:r>
          </w:p>
        </w:tc>
      </w:tr>
      <w:tr w14:paraId="79550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D9D9D9"/>
            <w:noWrap w:val="0"/>
            <w:vAlign w:val="center"/>
          </w:tcPr>
          <w:p w14:paraId="70BC406A">
            <w:pPr>
              <w:pStyle w:val="2"/>
              <w:adjustRightInd w:val="0"/>
              <w:snapToGrid w:val="0"/>
              <w:spacing w:after="0"/>
              <w:rPr>
                <w:rFonts w:hint="default" w:ascii="Times New Roman" w:hAnsi="Times New Roman" w:cs="Times New Roman"/>
                <w:bCs/>
                <w:color w:val="000000"/>
                <w:sz w:val="24"/>
                <w:szCs w:val="24"/>
                <w:lang w:val="en-US" w:eastAsia="zh-CN"/>
              </w:rPr>
            </w:pPr>
          </w:p>
        </w:tc>
        <w:tc>
          <w:tcPr>
            <w:tcW w:w="7700" w:type="dxa"/>
            <w:gridSpan w:val="2"/>
            <w:noWrap w:val="0"/>
            <w:vAlign w:val="center"/>
          </w:tcPr>
          <w:p w14:paraId="0CEEADAF">
            <w:pPr>
              <w:pStyle w:val="2"/>
              <w:adjustRightInd w:val="0"/>
              <w:snapToGrid w:val="0"/>
              <w:spacing w:after="0"/>
              <w:rPr>
                <w:rFonts w:hint="default" w:ascii="Times New Roman" w:hAnsi="Times New Roman" w:cs="Times New Roman"/>
                <w:bCs/>
                <w:color w:val="000000"/>
                <w:sz w:val="24"/>
                <w:szCs w:val="24"/>
                <w:lang w:val="en-US" w:eastAsia="zh-CN"/>
              </w:rPr>
            </w:pPr>
            <w:r>
              <w:rPr>
                <w:rFonts w:hint="default" w:ascii="Times New Roman" w:hAnsi="Times New Roman" w:cs="Times New Roman"/>
                <w:bCs/>
                <w:color w:val="000000"/>
                <w:sz w:val="24"/>
                <w:szCs w:val="24"/>
                <w:lang w:eastAsia="zh-CN"/>
              </w:rPr>
              <w:sym w:font="Wingdings" w:char="00A8"/>
            </w:r>
            <w:r>
              <w:rPr>
                <w:rFonts w:hint="default" w:ascii="Times New Roman" w:hAnsi="Times New Roman" w:cs="Times New Roman"/>
                <w:bCs/>
                <w:color w:val="000000"/>
                <w:sz w:val="24"/>
                <w:szCs w:val="24"/>
                <w:lang w:eastAsia="zh-CN"/>
              </w:rPr>
              <w:t xml:space="preserve"> 6、由两个以上的经营者共同控制的合营企业，通过集中被其中一个或一个以上经营者控制。</w:t>
            </w:r>
          </w:p>
        </w:tc>
      </w:tr>
      <w:tr w14:paraId="15E4A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1940" w:type="dxa"/>
            <w:shd w:val="clear" w:color="auto" w:fill="D9D9D9"/>
            <w:noWrap w:val="0"/>
            <w:vAlign w:val="center"/>
          </w:tcPr>
          <w:p w14:paraId="503705DB">
            <w:pPr>
              <w:pStyle w:val="2"/>
              <w:adjustRightInd w:val="0"/>
              <w:snapToGrid w:val="0"/>
              <w:spacing w:after="0"/>
              <w:rPr>
                <w:rFonts w:hint="eastAsia" w:ascii="宋体" w:hAnsi="宋体" w:cs="宋体"/>
                <w:bCs/>
                <w:color w:val="000000"/>
                <w:sz w:val="24"/>
                <w:szCs w:val="24"/>
                <w:lang w:val="en-US" w:eastAsia="zh-CN"/>
              </w:rPr>
            </w:pPr>
            <w:r>
              <w:rPr>
                <w:rFonts w:hint="eastAsia" w:ascii="宋体" w:hAnsi="宋体" w:cs="宋体"/>
                <w:bCs/>
                <w:color w:val="000000"/>
                <w:sz w:val="24"/>
                <w:szCs w:val="24"/>
                <w:lang w:val="en-US" w:eastAsia="zh-CN"/>
              </w:rPr>
              <w:t>备注</w:t>
            </w:r>
          </w:p>
        </w:tc>
        <w:tc>
          <w:tcPr>
            <w:tcW w:w="7700" w:type="dxa"/>
            <w:gridSpan w:val="2"/>
            <w:noWrap w:val="0"/>
            <w:vAlign w:val="center"/>
          </w:tcPr>
          <w:p w14:paraId="5B2BB3D4">
            <w:pPr>
              <w:pStyle w:val="2"/>
              <w:adjustRightInd w:val="0"/>
              <w:snapToGrid w:val="0"/>
              <w:spacing w:after="0"/>
              <w:rPr>
                <w:rFonts w:hint="default" w:ascii="Times New Roman" w:hAnsi="Times New Roman" w:cs="Times New Roman"/>
                <w:b/>
                <w:color w:val="000000"/>
                <w:sz w:val="24"/>
                <w:szCs w:val="24"/>
                <w:lang w:eastAsia="zh-CN"/>
              </w:rPr>
            </w:pPr>
            <w:r>
              <w:rPr>
                <w:rFonts w:hint="default" w:ascii="Times New Roman" w:hAnsi="Times New Roman" w:cs="Times New Roman"/>
                <w:b/>
                <w:color w:val="000000"/>
                <w:sz w:val="24"/>
                <w:szCs w:val="24"/>
                <w:lang w:eastAsia="zh-CN"/>
              </w:rPr>
              <w:t>横向重叠：</w:t>
            </w:r>
          </w:p>
          <w:p w14:paraId="2E5E6EF7">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2024年全球脱汞吸附剂市场：</w:t>
            </w:r>
          </w:p>
          <w:p w14:paraId="05278EA2">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霍尼韦尔：0-5%，目标公司：0-5%，合计：0-5%</w:t>
            </w:r>
          </w:p>
          <w:p w14:paraId="5E517C5D">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2024年中国境内脱汞吸附剂市场：</w:t>
            </w:r>
          </w:p>
          <w:p w14:paraId="38898F43">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霍尼韦尔：0-5%</w:t>
            </w:r>
          </w:p>
          <w:p w14:paraId="28B5376A">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2024年全球脱硫吸附剂市场：</w:t>
            </w:r>
          </w:p>
          <w:p w14:paraId="05AC49D4">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霍尼韦尔：0-5%，目标公司：0-5%，合计：5-10%</w:t>
            </w:r>
          </w:p>
          <w:p w14:paraId="3600803B">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2024年中国境内脱硫吸附剂市场：</w:t>
            </w:r>
          </w:p>
          <w:p w14:paraId="14BE60B0">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霍尼韦尔：0-5%，目标公司：0-5%，合计：0-5%</w:t>
            </w:r>
          </w:p>
          <w:p w14:paraId="1EC6305B">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2024年全球脱氯吸附剂市场：</w:t>
            </w:r>
          </w:p>
          <w:p w14:paraId="53B6719E">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霍尼韦尔：0-5%，目标公司：0-5%，合计：0-5%</w:t>
            </w:r>
          </w:p>
          <w:p w14:paraId="4B96367D">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2024年中国境内脱氯吸附剂市场：</w:t>
            </w:r>
          </w:p>
          <w:p w14:paraId="1D6CDC60">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霍尼韦尔：0-5%，目标公司：0-5%，合计：0-5%</w:t>
            </w:r>
          </w:p>
          <w:p w14:paraId="3C3B693A">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2024年全球基础化学与石化工艺技术许可市场：</w:t>
            </w:r>
          </w:p>
          <w:p w14:paraId="5EE69B0A">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霍尼韦尔：0-5%，目标公司：0-5%，合计：0-5%</w:t>
            </w:r>
          </w:p>
          <w:p w14:paraId="4A0C4BFB">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2024年中国境内基础化学与石化工艺技术许可市场：</w:t>
            </w:r>
          </w:p>
          <w:p w14:paraId="4EC859CB">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霍尼韦尔：0-5%，目标公司：0-5%，合计：0-5%</w:t>
            </w:r>
          </w:p>
          <w:p w14:paraId="58BB72DE">
            <w:pPr>
              <w:pStyle w:val="2"/>
              <w:adjustRightInd w:val="0"/>
              <w:snapToGrid w:val="0"/>
              <w:spacing w:after="0"/>
              <w:rPr>
                <w:rFonts w:hint="default" w:ascii="Times New Roman" w:hAnsi="Times New Roman" w:cs="Times New Roman"/>
                <w:b/>
                <w:color w:val="000000"/>
                <w:sz w:val="24"/>
                <w:szCs w:val="24"/>
                <w:lang w:eastAsia="zh-CN"/>
              </w:rPr>
            </w:pPr>
          </w:p>
          <w:p w14:paraId="223B6AF0">
            <w:pPr>
              <w:pStyle w:val="2"/>
              <w:adjustRightInd w:val="0"/>
              <w:snapToGrid w:val="0"/>
              <w:spacing w:after="0"/>
              <w:rPr>
                <w:rFonts w:hint="default" w:ascii="Times New Roman" w:hAnsi="Times New Roman" w:cs="Times New Roman"/>
                <w:b/>
                <w:color w:val="000000"/>
                <w:sz w:val="24"/>
                <w:szCs w:val="24"/>
                <w:lang w:eastAsia="zh-CN"/>
              </w:rPr>
            </w:pPr>
            <w:r>
              <w:rPr>
                <w:rFonts w:hint="default" w:ascii="Times New Roman" w:hAnsi="Times New Roman" w:cs="Times New Roman"/>
                <w:b/>
                <w:color w:val="000000"/>
                <w:sz w:val="24"/>
                <w:szCs w:val="24"/>
                <w:lang w:eastAsia="zh-CN"/>
              </w:rPr>
              <w:t>混合集中：</w:t>
            </w:r>
          </w:p>
          <w:p w14:paraId="41872703">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2024年全球甲醇催化剂市场：</w:t>
            </w:r>
          </w:p>
          <w:p w14:paraId="76304015">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目标公司：20-25%</w:t>
            </w:r>
          </w:p>
          <w:p w14:paraId="700A08DE">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2024年中国境内甲醇催化剂市场：</w:t>
            </w:r>
          </w:p>
          <w:p w14:paraId="5A432BC3">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目标公司：15-20%</w:t>
            </w:r>
          </w:p>
          <w:p w14:paraId="7F95DCEE">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2024年全球甲醛催化剂市场：</w:t>
            </w:r>
          </w:p>
          <w:p w14:paraId="2B95A89A">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目标公司：15-20%</w:t>
            </w:r>
          </w:p>
          <w:p w14:paraId="6F544412">
            <w:pPr>
              <w:pStyle w:val="2"/>
              <w:adjustRightInd w:val="0"/>
              <w:snapToGrid w:val="0"/>
              <w:spacing w:after="0"/>
              <w:rPr>
                <w:rFonts w:hint="default" w:ascii="Times New Roman" w:hAnsi="Times New Roman" w:cs="Times New Roman"/>
                <w:b w:val="0"/>
                <w:bCs/>
                <w:color w:val="000000"/>
                <w:sz w:val="24"/>
                <w:szCs w:val="24"/>
                <w:lang w:eastAsia="zh-CN"/>
              </w:rPr>
            </w:pPr>
            <w:r>
              <w:rPr>
                <w:rFonts w:hint="default" w:ascii="Times New Roman" w:hAnsi="Times New Roman" w:cs="Times New Roman"/>
                <w:b w:val="0"/>
                <w:bCs/>
                <w:color w:val="000000"/>
                <w:sz w:val="24"/>
                <w:szCs w:val="24"/>
                <w:lang w:eastAsia="zh-CN"/>
              </w:rPr>
              <w:t>2024年中国境内甲醛催化剂市场：</w:t>
            </w:r>
          </w:p>
          <w:p w14:paraId="5FE4EA61">
            <w:pPr>
              <w:pStyle w:val="2"/>
              <w:adjustRightInd w:val="0"/>
              <w:snapToGrid w:val="0"/>
              <w:spacing w:after="0"/>
              <w:rPr>
                <w:rFonts w:hint="eastAsia" w:ascii="宋体" w:hAnsi="宋体" w:cs="宋体"/>
                <w:bCs/>
                <w:color w:val="000000"/>
                <w:sz w:val="24"/>
                <w:szCs w:val="24"/>
                <w:lang w:val="en-US" w:eastAsia="zh-CN"/>
              </w:rPr>
            </w:pPr>
            <w:r>
              <w:rPr>
                <w:rFonts w:hint="default" w:ascii="Times New Roman" w:hAnsi="Times New Roman" w:cs="Times New Roman"/>
                <w:b w:val="0"/>
                <w:bCs/>
                <w:color w:val="000000"/>
                <w:sz w:val="24"/>
                <w:szCs w:val="24"/>
                <w:lang w:eastAsia="zh-CN"/>
              </w:rPr>
              <w:t>目标公司：10-15%</w:t>
            </w:r>
          </w:p>
        </w:tc>
      </w:tr>
    </w:tbl>
    <w:p w14:paraId="32B7756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3C304D"/>
    <w:rsid w:val="703C30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省市场监督管理局</Company>
  <Pages>2</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2025-09-04T06:44:00Z</dcterms:created>
  <dc:creator>胡翌婧</dc:creator>
  <cp:lastModifiedBy>胡翌婧</cp:lastModifiedBy>
  <dcterms:modified xsi:type="dcterms:W3CDTF">2025-09-04T06:44:25Z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126DBBD260484BF7B69D62BC5578D6AC_11</vt:lpwstr>
  </property>
  <property fmtid="{D5CDD505-2E9C-101B-9397-08002B2CF9AE}" pid="4" name="KSOTemplateDocerSaveRecord">
    <vt:lpwstr>eyJoZGlkIjoiODNjM2VkZWUwYjdkZDYzZGY2NmZiZGNiZGIyMjFjYWIiLCJ1c2VySWQiOiIyNDQ2MzYxMzgifQ==</vt:lpwstr>
  </property>
</Properties>
</file>