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03C99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3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7F93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7A598BC1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9007AFA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广汽本田汽车有限公司收购东风本田发动机有限公司股权案</w:t>
            </w:r>
          </w:p>
        </w:tc>
      </w:tr>
      <w:tr w14:paraId="45A4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551E7375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5987505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广汽本田汽车有限公司（“广汽本田”）与东风汽车集团股份有限公司（“东风汽车集团”）、本田技研工业株式会社（“本田”）等签署协议，广汽本田拟收购东风本田发动机有限公司（“东本发动机”）共计100%的股份。东本发动机主要从事汽车发动机制造业务。交易前，东风汽车集团、本田各持有东本发动机50%的股份，共同控制东本发动机。交易后，广汽本田持有东本发动机100%的股份，单独控制东本发动机。</w:t>
            </w:r>
          </w:p>
        </w:tc>
      </w:tr>
      <w:tr w14:paraId="4F57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32BCC94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12B1B0F6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广汽本田</w:t>
            </w:r>
          </w:p>
        </w:tc>
        <w:tc>
          <w:tcPr>
            <w:tcW w:w="6224" w:type="dxa"/>
            <w:vAlign w:val="center"/>
          </w:tcPr>
          <w:p w14:paraId="2595BBEA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广汽本田于1998 年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</w:rPr>
              <w:t>5月13日成立于广东省广州市，主要从事乘用车制造与销售。</w:t>
            </w:r>
          </w:p>
          <w:p w14:paraId="1AB400D9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广汽本田最终控制人为广州汽车工业集团有限公司（“广汽集团”）和本田。广汽集团主要从事汽车整车及零部件设计与制造，汽车销售与物流，汽车金融、保险及相关服务。本田主要从事两轮、四轮、飞机制造等业务。</w:t>
            </w:r>
          </w:p>
        </w:tc>
      </w:tr>
      <w:tr w14:paraId="38C6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19A341F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4E87EE71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东本发动机</w:t>
            </w:r>
          </w:p>
        </w:tc>
        <w:tc>
          <w:tcPr>
            <w:tcW w:w="6224" w:type="dxa"/>
            <w:vAlign w:val="center"/>
          </w:tcPr>
          <w:p w14:paraId="65C77A49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东本发动机于1998年5月26日成立于广东省广州市，主要从事汽车发动机制造。</w:t>
            </w:r>
          </w:p>
          <w:p w14:paraId="443A948B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东本发动机最终控制人为东风汽车集团有限公司及本田。东风汽车集团有限公司主要从事商用车、乘用车、军车制造等业务。本田主要业务如上所述。</w:t>
            </w:r>
          </w:p>
        </w:tc>
      </w:tr>
      <w:tr w14:paraId="7481F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71B209B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5750351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6C2AC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008F126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CC34B35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71B48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B552CA8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262C838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1E1F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656DA66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E20E96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4802F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9836E51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0295706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7154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23E0ED2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390A165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7D59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25BC352B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5A9AA6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  <w:t>横向重叠：</w:t>
            </w:r>
          </w:p>
          <w:p w14:paraId="75985DE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中国境内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乘用车汽油发动机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市场</w:t>
            </w:r>
          </w:p>
          <w:p w14:paraId="671FC13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广汽本田：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5%，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东本发动机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: 0-5%，各方合计：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5%</w:t>
            </w:r>
          </w:p>
          <w:p w14:paraId="1040C89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  <w:t>纵向关联：</w:t>
            </w:r>
          </w:p>
          <w:p w14:paraId="318C9C0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上游：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2024年中国境内乘用车汽油发动机市场</w:t>
            </w:r>
          </w:p>
          <w:p w14:paraId="5F5A5C3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如上所述</w:t>
            </w:r>
          </w:p>
          <w:p w14:paraId="2A13973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下游：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中国境内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传统能源乘用车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市场</w:t>
            </w:r>
          </w:p>
          <w:p w14:paraId="25DF191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/>
                <w:b/>
                <w:bCs w:val="0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广汽本田：15-20%</w:t>
            </w:r>
          </w:p>
        </w:tc>
      </w:tr>
    </w:tbl>
    <w:p w14:paraId="16994F9E">
      <w:pPr>
        <w:adjustRightInd w:val="0"/>
        <w:snapToGrid w:val="0"/>
        <w:rPr>
          <w:rFonts w:eastAsiaTheme="minorEastAsia"/>
        </w:rPr>
      </w:pPr>
    </w:p>
    <w:p w14:paraId="45870D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16E54"/>
    <w:rsid w:val="1B51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2025-11-18T07:46:00Z</dcterms:created>
  <dc:creator>王雪娇</dc:creator>
  <cp:lastModifiedBy>王雪娇</cp:lastModifiedBy>
  <dcterms:modified xsi:type="dcterms:W3CDTF">2025-11-18T07:46:51Z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E225CCCBD9A34A24AAE3B5E64C612CA9_11</vt:lpwstr>
  </property>
  <property fmtid="{D5CDD505-2E9C-101B-9397-08002B2CF9AE}" pid="4" name="KSOTemplateDocerSaveRecord">
    <vt:lpwstr>eyJoZGlkIjoiODNjM2VkZWUwYjdkZDYzZGY2NmZiZGNiZGIyMjFjYWIiLCJ1c2VySWQiOiIxMDI4NzQ1MTQzIn0=</vt:lpwstr>
  </property>
</Properties>
</file>