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BE5D1">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3"/>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4811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5FB9E835">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1B086ADF">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工银资本管理有限公司与南网私募基金管理有限公司新设合营企业案</w:t>
            </w:r>
          </w:p>
        </w:tc>
      </w:tr>
      <w:tr w14:paraId="643F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76D9AE1C">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503179FC">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南网私募基金管理有限公司（“南网基金”）与工银资本管理有限公司（“工银资本”）等签署合伙协议，拟共同出资新设一家合营企业。合营企业主要从事私募股权投资基金业务。交易后，合营企业普通合伙人工银资本、南网基金将分别持有合营企业70%、30%的份额，共同控制合营企业。</w:t>
            </w:r>
          </w:p>
        </w:tc>
      </w:tr>
      <w:tr w14:paraId="365D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6818559D">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39B423F6">
            <w:pPr>
              <w:pStyle w:val="2"/>
              <w:widowControl/>
              <w:adjustRightInd w:val="0"/>
              <w:snapToGrid w:val="0"/>
              <w:spacing w:after="0"/>
              <w:rPr>
                <w:rFonts w:hint="default"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bCs/>
                <w:color w:val="000000"/>
                <w:sz w:val="24"/>
              </w:rPr>
              <w:t>.</w:t>
            </w:r>
            <w:r>
              <w:rPr>
                <w:rFonts w:hint="eastAsia" w:cs="Times New Roman"/>
                <w:bCs/>
                <w:color w:val="000000"/>
                <w:sz w:val="24"/>
                <w:lang w:val="en-US" w:eastAsia="zh-CN"/>
              </w:rPr>
              <w:t>工银资本</w:t>
            </w:r>
          </w:p>
        </w:tc>
        <w:tc>
          <w:tcPr>
            <w:tcW w:w="6224" w:type="dxa"/>
            <w:vAlign w:val="center"/>
          </w:tcPr>
          <w:p w14:paraId="16B36869">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工银资本于2018年11月22日成立于北京市西城区，主要从事股权投资、投资管理等业务。</w:t>
            </w:r>
          </w:p>
          <w:p w14:paraId="2DABCCB3">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工银资本最终控制人为中国工商银行股份有限公司，主要从事公司金融业务、个人金融业务、资产管理业务、金融市场业务等。</w:t>
            </w:r>
          </w:p>
        </w:tc>
      </w:tr>
      <w:tr w14:paraId="6456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08BC2F5B">
            <w:pPr>
              <w:pStyle w:val="2"/>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7D5342E2">
            <w:pPr>
              <w:pStyle w:val="2"/>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w:t>
            </w:r>
            <w:r>
              <w:rPr>
                <w:rFonts w:hint="eastAsia" w:cs="Times New Roman"/>
                <w:bCs/>
                <w:color w:val="000000"/>
                <w:sz w:val="24"/>
                <w:lang w:val="en-US" w:eastAsia="zh-CN"/>
              </w:rPr>
              <w:t>南网基金</w:t>
            </w:r>
          </w:p>
        </w:tc>
        <w:tc>
          <w:tcPr>
            <w:tcW w:w="6224" w:type="dxa"/>
            <w:vAlign w:val="center"/>
          </w:tcPr>
          <w:p w14:paraId="4A191AF3">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南网基金于2023年6月29日成立于广东省广州市，主要业务为私募股权投资基金管理、创业投资基金管理。</w:t>
            </w:r>
          </w:p>
          <w:p w14:paraId="79E30B37">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南网基金最终控制人为中国南方电网有限责任公司，主要从事广东、广西、云南、贵州、海南南方五省区电力供应、区域电网管理、电力交易与调度业务等。</w:t>
            </w:r>
          </w:p>
        </w:tc>
      </w:tr>
      <w:tr w14:paraId="756BF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0CE0CDCC">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41D1B794">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1、在同一相关市场，所有参与集中的经营者所占市场份额之和小于15%。</w:t>
            </w:r>
          </w:p>
        </w:tc>
      </w:tr>
      <w:tr w14:paraId="4042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208730DE">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3F5D5A5">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03AB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534F0438">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8BF9A92">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76CD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14:paraId="6F7DD3E4">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7E5D3038">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6BB4E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5D2A7E9B">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33A0FC18">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7FF65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421111A0">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001F26A">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7B7E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trPr>
        <w:tc>
          <w:tcPr>
            <w:tcW w:w="1940" w:type="dxa"/>
            <w:shd w:val="clear" w:color="auto" w:fill="D9D9D9"/>
            <w:vAlign w:val="center"/>
          </w:tcPr>
          <w:p w14:paraId="30797BC6">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5C509B26">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b/>
                <w:bCs w:val="0"/>
                <w:color w:val="000000" w:themeColor="text1"/>
                <w:kern w:val="0"/>
                <w:sz w:val="24"/>
                <w:lang w:eastAsia="zh-CN"/>
                <w14:textFill>
                  <w14:solidFill>
                    <w14:schemeClr w14:val="tx1"/>
                  </w14:solidFill>
                </w14:textFill>
              </w:rPr>
            </w:pPr>
            <w:r>
              <w:rPr>
                <w:rFonts w:hint="eastAsia"/>
                <w:b/>
                <w:bCs w:val="0"/>
                <w:color w:val="000000" w:themeColor="text1"/>
                <w:kern w:val="0"/>
                <w:sz w:val="24"/>
                <w:lang w:eastAsia="zh-CN"/>
                <w14:textFill>
                  <w14:solidFill>
                    <w14:schemeClr w14:val="tx1"/>
                  </w14:solidFill>
                </w14:textFill>
              </w:rPr>
              <w:t>横向重叠：</w:t>
            </w:r>
          </w:p>
          <w:p w14:paraId="661651F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color w:val="000000" w:themeColor="text1"/>
                <w:kern w:val="0"/>
                <w:sz w:val="24"/>
                <w:lang w:eastAsia="zh-CN"/>
                <w14:textFill>
                  <w14:solidFill>
                    <w14:schemeClr w14:val="tx1"/>
                  </w14:solidFill>
                </w14:textFill>
              </w:rPr>
            </w:pPr>
            <w:r>
              <w:rPr>
                <w:rFonts w:hint="eastAsia"/>
                <w:b w:val="0"/>
                <w:bCs/>
                <w:color w:val="000000" w:themeColor="text1"/>
                <w:kern w:val="0"/>
                <w:sz w:val="24"/>
                <w:lang w:eastAsia="zh-CN"/>
                <w14:textFill>
                  <w14:solidFill>
                    <w14:schemeClr w14:val="tx1"/>
                  </w14:solidFill>
                </w14:textFill>
              </w:rPr>
              <w:t>2024年中国境内私募股权投资基金市场</w:t>
            </w:r>
          </w:p>
          <w:p w14:paraId="4BDAB62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b/>
                <w:bCs w:val="0"/>
                <w:color w:val="000000" w:themeColor="text1"/>
                <w:kern w:val="0"/>
                <w:sz w:val="24"/>
                <w:lang w:val="en-US" w:eastAsia="zh-CN"/>
                <w14:textFill>
                  <w14:solidFill>
                    <w14:schemeClr w14:val="tx1"/>
                  </w14:solidFill>
                </w14:textFill>
              </w:rPr>
            </w:pPr>
            <w:r>
              <w:rPr>
                <w:rFonts w:hint="eastAsia"/>
                <w:b w:val="0"/>
                <w:bCs/>
                <w:color w:val="000000" w:themeColor="text1"/>
                <w:kern w:val="0"/>
                <w:sz w:val="24"/>
                <w:lang w:eastAsia="zh-CN"/>
                <w14:textFill>
                  <w14:solidFill>
                    <w14:schemeClr w14:val="tx1"/>
                  </w14:solidFill>
                </w14:textFill>
              </w:rPr>
              <w:t>南网基金：0-5%，工银资本：0-5%，合营企业（预估）：0-5%，各方合计：0-5%</w:t>
            </w:r>
          </w:p>
        </w:tc>
      </w:tr>
    </w:tbl>
    <w:p w14:paraId="7FA44E86">
      <w:pPr>
        <w:adjustRightInd w:val="0"/>
        <w:snapToGrid w:val="0"/>
        <w:rPr>
          <w:rFonts w:eastAsiaTheme="minorEastAsia"/>
        </w:rPr>
      </w:pPr>
    </w:p>
    <w:p w14:paraId="7E53755C">
      <w:bookmarkStart w:id="0" w:name="_GoBack"/>
      <w:bookmarkEnd w:id="0"/>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C729EB"/>
    <w:rsid w:val="67C72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2025-11-27T01:49:00Z</dcterms:created>
  <dc:creator>王雪娇</dc:creator>
  <cp:lastModifiedBy>王雪娇</cp:lastModifiedBy>
  <dcterms:modified xsi:type="dcterms:W3CDTF">2025-11-27T01:50:42Z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3811F24D817D463DA10E0A0805EA499E_11</vt:lpwstr>
  </property>
  <property fmtid="{D5CDD505-2E9C-101B-9397-08002B2CF9AE}" pid="4" name="KSOTemplateDocerSaveRecord">
    <vt:lpwstr>eyJoZGlkIjoiODNjM2VkZWUwYjdkZDYzZGY2NmZiZGNiZGIyMjFjYWIiLCJ1c2VySWQiOiIxMDI4NzQ1MTQzIn0=</vt:lpwstr>
  </property>
</Properties>
</file>